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48" w:rsidRPr="00026A1F"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Дело C-49/07</w:t>
      </w:r>
    </w:p>
    <w:p w:rsidR="00067948" w:rsidRPr="00026A1F"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Motosykletistiki Omospondia Ellados NPID (MOTOE)</w:t>
      </w:r>
    </w:p>
    <w:p w:rsidR="00067948" w:rsidRPr="00026A1F"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color w:val="444444"/>
          <w:sz w:val="20"/>
          <w:szCs w:val="20"/>
        </w:rPr>
      </w:pPr>
      <w:bookmarkStart w:id="0" w:name="_GoBack"/>
      <w:bookmarkEnd w:id="0"/>
      <w:proofErr w:type="gramStart"/>
      <w:r w:rsidRPr="00026A1F">
        <w:rPr>
          <w:rFonts w:asciiTheme="majorHAnsi" w:hAnsiTheme="majorHAnsi" w:cs="Arial"/>
          <w:b/>
          <w:bCs/>
          <w:color w:val="444444"/>
          <w:sz w:val="20"/>
          <w:szCs w:val="20"/>
        </w:rPr>
        <w:t>срещу</w:t>
      </w:r>
      <w:proofErr w:type="gramEnd"/>
    </w:p>
    <w:p w:rsidR="00067948" w:rsidRPr="00026A1F"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Elliniko Dimosio</w:t>
      </w:r>
    </w:p>
    <w:p w:rsidR="00067948" w:rsidRPr="00026A1F" w:rsidRDefault="00067948" w:rsidP="00067948">
      <w:pPr>
        <w:pStyle w:val="s39centre"/>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(Преюдициално запитване, отправено от Dioikitiko Efeteio Athinon)</w:t>
      </w:r>
    </w:p>
    <w:p w:rsidR="00067948" w:rsidRPr="00026A1F" w:rsidRDefault="00067948" w:rsidP="00067948">
      <w:pPr>
        <w:pStyle w:val="s71indicateur"/>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„Членове 82 ЕО и 86 ЕО — Понятие за предприятие — Сдружение с нестопанска цел, което е представител в Гърция на Международната федерация по мотоциклетизъм — Понятие за икономическа дейност — Специално право по закон да се дава становище по подадени заявления за разрешение за организиране на мотоциклетни състезания — Успоредно упражняване на дейности като организиране на мотоциклетни състезания и сключване на договори за спонсорство, реклама и застраховка“</w:t>
      </w:r>
    </w:p>
    <w:p w:rsidR="00067948" w:rsidRPr="00026A1F" w:rsidRDefault="00067948" w:rsidP="00067948">
      <w:pPr>
        <w:pStyle w:val="s40titre"/>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Резюме на решението</w:t>
      </w:r>
    </w:p>
    <w:p w:rsidR="00067948" w:rsidRPr="00026A1F" w:rsidRDefault="00067948" w:rsidP="00067948">
      <w:pPr>
        <w:pStyle w:val="s35motclenumerote"/>
        <w:spacing w:before="120" w:beforeAutospacing="0" w:after="120" w:afterAutospacing="0" w:line="200" w:lineRule="atLeast"/>
        <w:ind w:left="540" w:right="420" w:hanging="680"/>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1.        </w:t>
      </w:r>
      <w:r w:rsidRPr="00026A1F">
        <w:rPr>
          <w:rFonts w:asciiTheme="majorHAnsi" w:hAnsiTheme="majorHAnsi" w:cs="Arial"/>
          <w:i/>
          <w:iCs/>
          <w:color w:val="444444"/>
          <w:sz w:val="20"/>
          <w:szCs w:val="20"/>
        </w:rPr>
        <w:t>Конкуренция — Общностни правила — Предприятие — Понятие</w:t>
      </w:r>
    </w:p>
    <w:p w:rsidR="00067948" w:rsidRPr="00026A1F" w:rsidRDefault="00067948" w:rsidP="00067948">
      <w:pPr>
        <w:pStyle w:val="s37motclefinretrait1"/>
        <w:spacing w:before="120" w:beforeAutospacing="0" w:after="120" w:afterAutospacing="0" w:line="200" w:lineRule="atLeast"/>
        <w:ind w:left="540" w:right="420"/>
        <w:textAlignment w:val="baseline"/>
        <w:rPr>
          <w:rFonts w:asciiTheme="majorHAnsi" w:hAnsiTheme="majorHAnsi" w:cs="Arial"/>
          <w:color w:val="444444"/>
          <w:sz w:val="20"/>
          <w:szCs w:val="20"/>
        </w:rPr>
      </w:pPr>
      <w:r w:rsidRPr="00026A1F">
        <w:rPr>
          <w:rFonts w:asciiTheme="majorHAnsi" w:hAnsiTheme="majorHAnsi" w:cs="Arial"/>
          <w:i/>
          <w:iCs/>
          <w:color w:val="444444"/>
          <w:sz w:val="20"/>
          <w:szCs w:val="20"/>
        </w:rPr>
        <w:t>(</w:t>
      </w:r>
      <w:proofErr w:type="gramStart"/>
      <w:r w:rsidRPr="00026A1F">
        <w:rPr>
          <w:rFonts w:asciiTheme="majorHAnsi" w:hAnsiTheme="majorHAnsi" w:cs="Arial"/>
          <w:i/>
          <w:iCs/>
          <w:color w:val="444444"/>
          <w:sz w:val="20"/>
          <w:szCs w:val="20"/>
        </w:rPr>
        <w:t>членове</w:t>
      </w:r>
      <w:proofErr w:type="gramEnd"/>
      <w:r w:rsidRPr="00026A1F">
        <w:rPr>
          <w:rFonts w:asciiTheme="majorHAnsi" w:hAnsiTheme="majorHAnsi" w:cs="Arial"/>
          <w:i/>
          <w:iCs/>
          <w:color w:val="444444"/>
          <w:sz w:val="20"/>
          <w:szCs w:val="20"/>
        </w:rPr>
        <w:t xml:space="preserve"> 81 ЕО и 82 ЕО)</w:t>
      </w:r>
    </w:p>
    <w:p w:rsidR="00067948" w:rsidRPr="00026A1F" w:rsidRDefault="00067948" w:rsidP="00067948">
      <w:pPr>
        <w:pStyle w:val="s35motclenumerote"/>
        <w:spacing w:before="120" w:beforeAutospacing="0" w:after="120" w:afterAutospacing="0" w:line="200" w:lineRule="atLeast"/>
        <w:ind w:left="540" w:right="420" w:hanging="680"/>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2.        </w:t>
      </w:r>
      <w:r w:rsidRPr="00026A1F">
        <w:rPr>
          <w:rFonts w:asciiTheme="majorHAnsi" w:hAnsiTheme="majorHAnsi" w:cs="Arial"/>
          <w:i/>
          <w:iCs/>
          <w:color w:val="444444"/>
          <w:sz w:val="20"/>
          <w:szCs w:val="20"/>
        </w:rPr>
        <w:t>Конкуренция — Публични предприятия и предприятия, на които държавите-членки предоставят специални или изключителни права</w:t>
      </w:r>
    </w:p>
    <w:p w:rsidR="00067948" w:rsidRPr="00026A1F" w:rsidRDefault="00067948" w:rsidP="00067948">
      <w:pPr>
        <w:pStyle w:val="s37motclefinretrait1"/>
        <w:spacing w:before="120" w:beforeAutospacing="0" w:after="120" w:afterAutospacing="0" w:line="200" w:lineRule="atLeast"/>
        <w:ind w:left="540" w:right="420"/>
        <w:textAlignment w:val="baseline"/>
        <w:rPr>
          <w:rFonts w:asciiTheme="majorHAnsi" w:hAnsiTheme="majorHAnsi" w:cs="Arial"/>
          <w:color w:val="444444"/>
          <w:sz w:val="20"/>
          <w:szCs w:val="20"/>
        </w:rPr>
      </w:pPr>
      <w:r w:rsidRPr="00026A1F">
        <w:rPr>
          <w:rFonts w:asciiTheme="majorHAnsi" w:hAnsiTheme="majorHAnsi" w:cs="Arial"/>
          <w:i/>
          <w:iCs/>
          <w:color w:val="444444"/>
          <w:sz w:val="20"/>
          <w:szCs w:val="20"/>
        </w:rPr>
        <w:t>(</w:t>
      </w:r>
      <w:proofErr w:type="gramStart"/>
      <w:r w:rsidRPr="00026A1F">
        <w:rPr>
          <w:rFonts w:asciiTheme="majorHAnsi" w:hAnsiTheme="majorHAnsi" w:cs="Arial"/>
          <w:i/>
          <w:iCs/>
          <w:color w:val="444444"/>
          <w:sz w:val="20"/>
          <w:szCs w:val="20"/>
        </w:rPr>
        <w:t>членове</w:t>
      </w:r>
      <w:proofErr w:type="gramEnd"/>
      <w:r w:rsidRPr="00026A1F">
        <w:rPr>
          <w:rFonts w:asciiTheme="majorHAnsi" w:hAnsiTheme="majorHAnsi" w:cs="Arial"/>
          <w:i/>
          <w:iCs/>
          <w:color w:val="444444"/>
          <w:sz w:val="20"/>
          <w:szCs w:val="20"/>
        </w:rPr>
        <w:t xml:space="preserve"> 82 EО и 86 ЕО)</w:t>
      </w:r>
    </w:p>
    <w:p w:rsidR="00067948" w:rsidRPr="00026A1F" w:rsidRDefault="00067948" w:rsidP="00067948">
      <w:pPr>
        <w:pStyle w:val="s01pointaltn"/>
        <w:spacing w:before="0" w:beforeAutospacing="0" w:after="0" w:afterAutospacing="0" w:line="200" w:lineRule="atLeast"/>
        <w:ind w:left="540" w:right="420" w:hanging="680"/>
        <w:jc w:val="both"/>
        <w:textAlignment w:val="baseline"/>
        <w:rPr>
          <w:rFonts w:asciiTheme="majorHAnsi" w:hAnsiTheme="majorHAnsi" w:cs="Arial"/>
          <w:color w:val="444444"/>
          <w:sz w:val="20"/>
          <w:szCs w:val="20"/>
        </w:rPr>
      </w:pPr>
      <w:bookmarkStart w:id="1" w:name="point1"/>
      <w:r w:rsidRPr="00026A1F">
        <w:rPr>
          <w:rFonts w:asciiTheme="majorHAnsi" w:hAnsiTheme="majorHAnsi" w:cs="Arial"/>
          <w:color w:val="3366CC"/>
          <w:sz w:val="20"/>
          <w:szCs w:val="20"/>
          <w:bdr w:val="none" w:sz="0" w:space="0" w:color="auto" w:frame="1"/>
        </w:rPr>
        <w:t>1.</w:t>
      </w:r>
      <w:r w:rsidRPr="00026A1F">
        <w:rPr>
          <w:rFonts w:asciiTheme="majorHAnsi" w:hAnsiTheme="majorHAnsi" w:cs="Arial"/>
          <w:color w:val="444444"/>
          <w:sz w:val="20"/>
          <w:szCs w:val="20"/>
        </w:rPr>
        <w:t>        Юридическо лице, чиито дейности се състоят в организирането на спортни състезания и в сключването в тази връзка на договори за спонсорство, реклама и застраховка, които са предназначени за използването на състезанията с търговска цел и са източник на приходи за това образувание, трябва да бъде определено като предприятие по смисъла на общностното право в областта на конкуренцията. Обстоятелството, че дадена икономическа дейност е свързана със спорта, не представлява пречка за прилагането на разпоредбите на Договора, включително на разпоредбите относно правото на конкуренцията.</w:t>
      </w:r>
    </w:p>
    <w:p w:rsidR="00067948" w:rsidRPr="00026A1F" w:rsidRDefault="00067948" w:rsidP="00067948">
      <w:pPr>
        <w:pStyle w:val="s19marge1"/>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Този извод не се оборва поради факта, че образуванието разполага с правомощието да дава становище по подадените пред публичните органи заявления за разрешение за организиране на състезания, тъй като участието на това образувание в процеса на вземане на решения от тези органи трябва да се разграничава от упражняваните от него икономически дейности, каквито са организирането и използването с търговска цел на състезания. Обстоятелството, че то има нестопанска цел, също не засяга този извод, при положение че неговите оферти за стоки и услуги се конкурират с офертите на други оператори. В това отношение сдруженията с нестопанска цел, които предлагат стоки и услуги на даден пазар, може да се намират в конкурентно положение помежду си. Всъщност успехът или икономическото оцеляване на такива сдружения в дългосрочен план зависи от способността им да налагат своите престации на съответния пазар в ущърб на престациите на останалите оператори.</w:t>
      </w:r>
    </w:p>
    <w:p w:rsidR="00067948" w:rsidRPr="00026A1F" w:rsidRDefault="00067948" w:rsidP="00067948">
      <w:pPr>
        <w:pStyle w:val="s36renvoi"/>
        <w:spacing w:before="120" w:beforeAutospacing="0" w:after="120" w:afterAutospacing="0" w:line="200" w:lineRule="atLeast"/>
        <w:ind w:left="540" w:right="420"/>
        <w:jc w:val="right"/>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w:t>
      </w:r>
      <w:proofErr w:type="gramStart"/>
      <w:r w:rsidRPr="00026A1F">
        <w:rPr>
          <w:rFonts w:asciiTheme="majorHAnsi" w:hAnsiTheme="majorHAnsi" w:cs="Arial"/>
          <w:color w:val="444444"/>
          <w:sz w:val="20"/>
          <w:szCs w:val="20"/>
        </w:rPr>
        <w:t>вж</w:t>
      </w:r>
      <w:proofErr w:type="gramEnd"/>
      <w:r w:rsidRPr="00026A1F">
        <w:rPr>
          <w:rFonts w:asciiTheme="majorHAnsi" w:hAnsiTheme="majorHAnsi" w:cs="Arial"/>
          <w:color w:val="444444"/>
          <w:sz w:val="20"/>
          <w:szCs w:val="20"/>
        </w:rPr>
        <w:t>. точки 22, 23 и 26—28)</w:t>
      </w:r>
    </w:p>
    <w:p w:rsidR="00067948" w:rsidRPr="00026A1F" w:rsidRDefault="00067948" w:rsidP="00067948">
      <w:pPr>
        <w:pStyle w:val="s01pointaltn"/>
        <w:spacing w:before="0" w:beforeAutospacing="0" w:after="0" w:afterAutospacing="0" w:line="200" w:lineRule="atLeast"/>
        <w:ind w:left="540" w:right="420" w:hanging="680"/>
        <w:jc w:val="both"/>
        <w:textAlignment w:val="baseline"/>
        <w:rPr>
          <w:rFonts w:asciiTheme="majorHAnsi" w:hAnsiTheme="majorHAnsi" w:cs="Arial"/>
          <w:color w:val="444444"/>
          <w:sz w:val="20"/>
          <w:szCs w:val="20"/>
        </w:rPr>
      </w:pPr>
      <w:bookmarkStart w:id="2" w:name="point2"/>
      <w:r w:rsidRPr="00026A1F">
        <w:rPr>
          <w:rFonts w:asciiTheme="majorHAnsi" w:hAnsiTheme="majorHAnsi" w:cs="Arial"/>
          <w:color w:val="3366CC"/>
          <w:sz w:val="20"/>
          <w:szCs w:val="20"/>
          <w:bdr w:val="none" w:sz="0" w:space="0" w:color="auto" w:frame="1"/>
        </w:rPr>
        <w:t>2.</w:t>
      </w:r>
      <w:r w:rsidRPr="00026A1F">
        <w:rPr>
          <w:rFonts w:asciiTheme="majorHAnsi" w:hAnsiTheme="majorHAnsi" w:cs="Arial"/>
          <w:color w:val="444444"/>
          <w:sz w:val="20"/>
          <w:szCs w:val="20"/>
        </w:rPr>
        <w:t>        Членове 82 ЕО и 86 ЕО не допускат национална правна уредба, която предоставя на юридическо лице, което организира спортни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026A1F" w:rsidRDefault="00067948" w:rsidP="00067948">
      <w:pPr>
        <w:pStyle w:val="s19marge1"/>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xml:space="preserve">Всъщност система на ненарушена конкуренция като предвидената в Договора може да бъде гарантирана само ако се осигури равенство на възможностите на различните икономически оператори. Да се възложи на юридическо лице, което самò организира и използва с търговска цел спортни състезания, да дава становище на компетентните административни органи по подадените заявления за разрешение за организиране на такива състезания, de facto е равносилно на това да му се предостави правомощието да определя лицата, на </w:t>
      </w:r>
      <w:proofErr w:type="gramStart"/>
      <w:r w:rsidRPr="00026A1F">
        <w:rPr>
          <w:rFonts w:asciiTheme="majorHAnsi" w:hAnsiTheme="majorHAnsi" w:cs="Arial"/>
          <w:color w:val="444444"/>
          <w:sz w:val="20"/>
          <w:szCs w:val="20"/>
        </w:rPr>
        <w:t>които</w:t>
      </w:r>
      <w:proofErr w:type="gramEnd"/>
      <w:r w:rsidRPr="00026A1F">
        <w:rPr>
          <w:rFonts w:asciiTheme="majorHAnsi" w:hAnsiTheme="majorHAnsi" w:cs="Arial"/>
          <w:color w:val="444444"/>
          <w:sz w:val="20"/>
          <w:szCs w:val="20"/>
        </w:rPr>
        <w:t xml:space="preserve"> е разрешено да организират посочените състезания, както и да указва условията, при които се организират последните, като по този начин на това образувание се дава явно предимство спрямо неговите конкуренти. Следователно такова право може да принуди предприятието, което разполага с него, да възпрепятства достъпа на останалите оператори до съответния пазар или да наруши конкуренцията, като третира по-благоприятно организираните от него състезания или тези, в чието организиране участва.</w:t>
      </w:r>
    </w:p>
    <w:p w:rsidR="00067948" w:rsidRPr="00026A1F" w:rsidRDefault="00067948" w:rsidP="00067948">
      <w:pPr>
        <w:pStyle w:val="s36renvoi"/>
        <w:spacing w:before="120" w:beforeAutospacing="0" w:after="120" w:afterAutospacing="0" w:line="200" w:lineRule="atLeast"/>
        <w:ind w:left="540" w:right="420"/>
        <w:jc w:val="right"/>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w:t>
      </w:r>
      <w:proofErr w:type="gramStart"/>
      <w:r w:rsidRPr="00026A1F">
        <w:rPr>
          <w:rFonts w:asciiTheme="majorHAnsi" w:hAnsiTheme="majorHAnsi" w:cs="Arial"/>
          <w:color w:val="444444"/>
          <w:sz w:val="20"/>
          <w:szCs w:val="20"/>
        </w:rPr>
        <w:t>вж</w:t>
      </w:r>
      <w:proofErr w:type="gramEnd"/>
      <w:r w:rsidRPr="00026A1F">
        <w:rPr>
          <w:rFonts w:asciiTheme="majorHAnsi" w:hAnsiTheme="majorHAnsi" w:cs="Arial"/>
          <w:color w:val="444444"/>
          <w:sz w:val="20"/>
          <w:szCs w:val="20"/>
        </w:rPr>
        <w:t>. точки 51—53 и диспозитива)</w:t>
      </w:r>
    </w:p>
    <w:p w:rsidR="00067948" w:rsidRPr="00026A1F" w:rsidRDefault="00067948" w:rsidP="00067948">
      <w:pPr>
        <w:rPr>
          <w:rFonts w:asciiTheme="majorHAnsi" w:hAnsiTheme="majorHAnsi" w:cs="Times New Roman"/>
          <w:sz w:val="20"/>
          <w:szCs w:val="20"/>
        </w:rPr>
      </w:pPr>
      <w:r w:rsidRPr="00026A1F">
        <w:rPr>
          <w:rFonts w:asciiTheme="majorHAnsi" w:hAnsiTheme="majorHAnsi" w:cs="Lucida Sans Unicode"/>
          <w:color w:val="444444"/>
          <w:sz w:val="20"/>
          <w:szCs w:val="20"/>
        </w:rPr>
        <w:br/>
      </w:r>
      <w:r w:rsidRPr="00026A1F">
        <w:rPr>
          <w:rFonts w:asciiTheme="majorHAnsi" w:hAnsiTheme="majorHAnsi" w:cs="Lucida Sans Unicode"/>
          <w:color w:val="444444"/>
          <w:sz w:val="20"/>
          <w:szCs w:val="20"/>
        </w:rPr>
        <w:br/>
      </w:r>
      <w:r w:rsidRPr="00026A1F">
        <w:rPr>
          <w:rFonts w:asciiTheme="majorHAnsi" w:hAnsiTheme="majorHAnsi" w:cs="Lucida Sans Unicode"/>
          <w:color w:val="444444"/>
          <w:sz w:val="20"/>
          <w:szCs w:val="20"/>
        </w:rPr>
        <w:br/>
      </w:r>
      <w:r w:rsidRPr="00026A1F">
        <w:rPr>
          <w:rFonts w:asciiTheme="majorHAnsi" w:hAnsiTheme="majorHAnsi" w:cs="Lucida Sans Unicode"/>
          <w:color w:val="444444"/>
          <w:sz w:val="20"/>
          <w:szCs w:val="20"/>
        </w:rPr>
        <w:br/>
      </w:r>
      <w:r w:rsidRPr="00026A1F">
        <w:rPr>
          <w:rFonts w:asciiTheme="majorHAnsi" w:hAnsiTheme="majorHAnsi" w:cs="Lucida Sans Unicode"/>
          <w:color w:val="444444"/>
          <w:sz w:val="20"/>
          <w:szCs w:val="20"/>
        </w:rPr>
        <w:br/>
      </w:r>
      <w:r w:rsidRPr="00026A1F">
        <w:rPr>
          <w:rFonts w:asciiTheme="majorHAnsi" w:hAnsiTheme="majorHAnsi" w:cs="Lucida Sans Unicode"/>
          <w:color w:val="444444"/>
          <w:sz w:val="20"/>
          <w:szCs w:val="20"/>
        </w:rPr>
        <w:lastRenderedPageBreak/>
        <w:br/>
      </w:r>
    </w:p>
    <w:p w:rsidR="00067948" w:rsidRPr="00026A1F" w:rsidRDefault="00067948" w:rsidP="00067948">
      <w:pPr>
        <w:pStyle w:val="c19centre"/>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РЕШЕНИЕ НА СЪДА (голям състав)</w:t>
      </w:r>
    </w:p>
    <w:p w:rsidR="00067948" w:rsidRPr="00026A1F" w:rsidRDefault="00067948" w:rsidP="00067948">
      <w:pPr>
        <w:pStyle w:val="c19centre"/>
        <w:spacing w:before="0" w:beforeAutospacing="0" w:after="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xml:space="preserve">1 юли 2008 </w:t>
      </w:r>
      <w:proofErr w:type="gramStart"/>
      <w:r w:rsidRPr="00026A1F">
        <w:rPr>
          <w:rFonts w:asciiTheme="majorHAnsi" w:hAnsiTheme="majorHAnsi" w:cs="Arial"/>
          <w:color w:val="444444"/>
          <w:sz w:val="20"/>
          <w:szCs w:val="20"/>
        </w:rPr>
        <w:t>година(</w:t>
      </w:r>
      <w:bookmarkStart w:id="3" w:name="Footref*"/>
      <w:proofErr w:type="gramEnd"/>
      <w:r w:rsidRPr="00026A1F">
        <w:rPr>
          <w:rFonts w:asciiTheme="majorHAnsi" w:hAnsiTheme="majorHAnsi" w:cs="Arial"/>
          <w:color w:val="444444"/>
          <w:sz w:val="20"/>
          <w:szCs w:val="20"/>
        </w:rPr>
        <w:fldChar w:fldCharType="begin"/>
      </w:r>
      <w:r w:rsidRPr="00026A1F">
        <w:rPr>
          <w:rFonts w:asciiTheme="majorHAnsi" w:hAnsiTheme="majorHAnsi" w:cs="Arial"/>
          <w:color w:val="444444"/>
          <w:sz w:val="20"/>
          <w:szCs w:val="20"/>
        </w:rPr>
        <w:instrText xml:space="preserve"> HYPERLINK "http://eur-lex.europa.eu/legal-content/BG/TXT/?uri=CELEX:62007CJ0049" \l "Footnote*" </w:instrText>
      </w:r>
      <w:r w:rsidRPr="00026A1F">
        <w:rPr>
          <w:rFonts w:asciiTheme="majorHAnsi" w:hAnsiTheme="majorHAnsi" w:cs="Arial"/>
          <w:color w:val="444444"/>
          <w:sz w:val="20"/>
          <w:szCs w:val="20"/>
        </w:rPr>
        <w:fldChar w:fldCharType="separate"/>
      </w:r>
      <w:r w:rsidRPr="00026A1F">
        <w:rPr>
          <w:rStyle w:val="Hyperlink"/>
          <w:rFonts w:asciiTheme="majorHAnsi" w:hAnsiTheme="majorHAnsi" w:cs="Arial"/>
          <w:color w:val="800080"/>
          <w:sz w:val="20"/>
          <w:szCs w:val="20"/>
          <w:bdr w:val="none" w:sz="0" w:space="0" w:color="auto" w:frame="1"/>
        </w:rPr>
        <w:t>*</w:t>
      </w:r>
      <w:r w:rsidRPr="00026A1F">
        <w:rPr>
          <w:rFonts w:asciiTheme="majorHAnsi" w:hAnsiTheme="majorHAnsi" w:cs="Arial"/>
          <w:color w:val="444444"/>
          <w:sz w:val="20"/>
          <w:szCs w:val="20"/>
        </w:rPr>
        <w:fldChar w:fldCharType="end"/>
      </w:r>
      <w:bookmarkEnd w:id="3"/>
      <w:r w:rsidRPr="00026A1F">
        <w:rPr>
          <w:rFonts w:asciiTheme="majorHAnsi" w:hAnsiTheme="majorHAnsi" w:cs="Arial"/>
          <w:color w:val="444444"/>
          <w:sz w:val="20"/>
          <w:szCs w:val="20"/>
        </w:rPr>
        <w:t>)</w:t>
      </w:r>
    </w:p>
    <w:p w:rsidR="00067948" w:rsidRPr="00026A1F" w:rsidRDefault="00067948" w:rsidP="00067948">
      <w:pPr>
        <w:pStyle w:val="c71indicateur"/>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„Членове 82 ЕО и 86 ЕО — Понятие за предприятие — Сдружение с нестопанска цел, което е представител в Гърция на Международната федерация по мотоциклетизъм — Понятие за икономическа дейност — Специално право по закон да се дава становище по подадени заявления за разрешение за организиране на мотоциклетни състезания — Успоредно упражняване на дейности като организиране на мотоциклетни състезания и сключване на договори за спонсорство, реклама и застраховка“</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По дело C</w:t>
      </w:r>
      <w:r w:rsidRPr="00026A1F">
        <w:rPr>
          <w:rFonts w:asciiTheme="majorHAnsi" w:hAnsiTheme="majorHAnsi" w:cs="Arial"/>
          <w:color w:val="444444"/>
          <w:sz w:val="20"/>
          <w:szCs w:val="20"/>
        </w:rPr>
        <w:noBreakHyphen/>
        <w:t>49/07,</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с предмет преюдициално запитване, отправено на основание член 234 ЕО от Dioikitiko Efeteio Athinon (Гърция) с акт от 21 ноември 2006 г., постъпил в Съда на 5 февруари 2007 г., в рамките на производство по дело</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b/>
          <w:bCs/>
          <w:color w:val="444444"/>
          <w:sz w:val="20"/>
          <w:szCs w:val="20"/>
        </w:rPr>
        <w:t>Motosykletistiki Omospondia Ellados NPID (MOTOE)</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срещу</w:t>
      </w:r>
      <w:proofErr w:type="gramEnd"/>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b/>
          <w:bCs/>
          <w:color w:val="444444"/>
          <w:sz w:val="20"/>
          <w:szCs w:val="20"/>
        </w:rPr>
        <w:t>Elliniko Dimosio,</w:t>
      </w:r>
    </w:p>
    <w:p w:rsidR="00067948" w:rsidRPr="00026A1F" w:rsidRDefault="00067948" w:rsidP="00067948">
      <w:pPr>
        <w:pStyle w:val="c19centre"/>
        <w:spacing w:before="120" w:beforeAutospacing="0" w:after="120" w:afterAutospacing="0" w:line="200" w:lineRule="atLeast"/>
        <w:ind w:left="540" w:right="420"/>
        <w:jc w:val="center"/>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СЪДЪТ (голям състав),</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състоящ се от: г</w:t>
      </w:r>
      <w:r w:rsidRPr="00026A1F">
        <w:rPr>
          <w:rFonts w:asciiTheme="majorHAnsi" w:hAnsiTheme="majorHAnsi" w:cs="Arial"/>
          <w:color w:val="444444"/>
          <w:sz w:val="20"/>
          <w:szCs w:val="20"/>
        </w:rPr>
        <w:noBreakHyphen/>
        <w:t>н V. Skouris, председател, г</w:t>
      </w:r>
      <w:r w:rsidRPr="00026A1F">
        <w:rPr>
          <w:rFonts w:asciiTheme="majorHAnsi" w:hAnsiTheme="majorHAnsi" w:cs="Arial"/>
          <w:color w:val="444444"/>
          <w:sz w:val="20"/>
          <w:szCs w:val="20"/>
        </w:rPr>
        <w:noBreakHyphen/>
        <w:t>н C. W. A. Timmermans, г</w:t>
      </w:r>
      <w:r w:rsidRPr="00026A1F">
        <w:rPr>
          <w:rFonts w:asciiTheme="majorHAnsi" w:hAnsiTheme="majorHAnsi" w:cs="Arial"/>
          <w:color w:val="444444"/>
          <w:sz w:val="20"/>
          <w:szCs w:val="20"/>
        </w:rPr>
        <w:noBreakHyphen/>
        <w:t>н A. Rosas, г</w:t>
      </w:r>
      <w:r w:rsidRPr="00026A1F">
        <w:rPr>
          <w:rFonts w:asciiTheme="majorHAnsi" w:hAnsiTheme="majorHAnsi" w:cs="Arial"/>
          <w:color w:val="444444"/>
          <w:sz w:val="20"/>
          <w:szCs w:val="20"/>
        </w:rPr>
        <w:noBreakHyphen/>
        <w:t>н K. Lenaerts и г</w:t>
      </w:r>
      <w:r w:rsidRPr="00026A1F">
        <w:rPr>
          <w:rFonts w:asciiTheme="majorHAnsi" w:hAnsiTheme="majorHAnsi" w:cs="Arial"/>
          <w:color w:val="444444"/>
          <w:sz w:val="20"/>
          <w:szCs w:val="20"/>
        </w:rPr>
        <w:noBreakHyphen/>
        <w:t>н A. Tizzano, председатели на състави, г</w:t>
      </w:r>
      <w:r w:rsidRPr="00026A1F">
        <w:rPr>
          <w:rFonts w:asciiTheme="majorHAnsi" w:hAnsiTheme="majorHAnsi" w:cs="Arial"/>
          <w:color w:val="444444"/>
          <w:sz w:val="20"/>
          <w:szCs w:val="20"/>
        </w:rPr>
        <w:noBreakHyphen/>
        <w:t>н J. N. Cunha Rodrigues, г</w:t>
      </w:r>
      <w:r w:rsidRPr="00026A1F">
        <w:rPr>
          <w:rFonts w:asciiTheme="majorHAnsi" w:hAnsiTheme="majorHAnsi" w:cs="Arial"/>
          <w:color w:val="444444"/>
          <w:sz w:val="20"/>
          <w:szCs w:val="20"/>
        </w:rPr>
        <w:noBreakHyphen/>
        <w:t>н A. Borg Barthet, г</w:t>
      </w:r>
      <w:r w:rsidRPr="00026A1F">
        <w:rPr>
          <w:rFonts w:asciiTheme="majorHAnsi" w:hAnsiTheme="majorHAnsi" w:cs="Arial"/>
          <w:color w:val="444444"/>
          <w:sz w:val="20"/>
          <w:szCs w:val="20"/>
        </w:rPr>
        <w:noBreakHyphen/>
        <w:t>н M. Ilešič, г</w:t>
      </w:r>
      <w:r w:rsidRPr="00026A1F">
        <w:rPr>
          <w:rFonts w:asciiTheme="majorHAnsi" w:hAnsiTheme="majorHAnsi" w:cs="Arial"/>
          <w:color w:val="444444"/>
          <w:sz w:val="20"/>
          <w:szCs w:val="20"/>
        </w:rPr>
        <w:noBreakHyphen/>
        <w:t>н J. Malenovský, г</w:t>
      </w:r>
      <w:r w:rsidRPr="00026A1F">
        <w:rPr>
          <w:rFonts w:asciiTheme="majorHAnsi" w:hAnsiTheme="majorHAnsi" w:cs="Arial"/>
          <w:color w:val="444444"/>
          <w:sz w:val="20"/>
          <w:szCs w:val="20"/>
        </w:rPr>
        <w:noBreakHyphen/>
        <w:t>н J. Klučka (докладчик), г</w:t>
      </w:r>
      <w:r w:rsidRPr="00026A1F">
        <w:rPr>
          <w:rFonts w:asciiTheme="majorHAnsi" w:hAnsiTheme="majorHAnsi" w:cs="Arial"/>
          <w:color w:val="444444"/>
          <w:sz w:val="20"/>
          <w:szCs w:val="20"/>
        </w:rPr>
        <w:noBreakHyphen/>
        <w:t>н T. von Danwitz, г</w:t>
      </w:r>
      <w:r w:rsidRPr="00026A1F">
        <w:rPr>
          <w:rFonts w:asciiTheme="majorHAnsi" w:hAnsiTheme="majorHAnsi" w:cs="Arial"/>
          <w:color w:val="444444"/>
          <w:sz w:val="20"/>
          <w:szCs w:val="20"/>
        </w:rPr>
        <w:noBreakHyphen/>
        <w:t>н Ал. Арабаджиев и г</w:t>
      </w:r>
      <w:r w:rsidRPr="00026A1F">
        <w:rPr>
          <w:rFonts w:asciiTheme="majorHAnsi" w:hAnsiTheme="majorHAnsi" w:cs="Arial"/>
          <w:color w:val="444444"/>
          <w:sz w:val="20"/>
          <w:szCs w:val="20"/>
        </w:rPr>
        <w:noBreakHyphen/>
        <w:t>жа C. Toader, съдии,</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генерален</w:t>
      </w:r>
      <w:proofErr w:type="gramEnd"/>
      <w:r w:rsidRPr="00026A1F">
        <w:rPr>
          <w:rFonts w:asciiTheme="majorHAnsi" w:hAnsiTheme="majorHAnsi" w:cs="Arial"/>
          <w:color w:val="444444"/>
          <w:sz w:val="20"/>
          <w:szCs w:val="20"/>
        </w:rPr>
        <w:t xml:space="preserve"> адвокат: г</w:t>
      </w:r>
      <w:r w:rsidRPr="00026A1F">
        <w:rPr>
          <w:rFonts w:asciiTheme="majorHAnsi" w:hAnsiTheme="majorHAnsi" w:cs="Arial"/>
          <w:color w:val="444444"/>
          <w:sz w:val="20"/>
          <w:szCs w:val="20"/>
        </w:rPr>
        <w:noBreakHyphen/>
        <w:t>жа J. Kokott,</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секретар</w:t>
      </w:r>
      <w:proofErr w:type="gramEnd"/>
      <w:r w:rsidRPr="00026A1F">
        <w:rPr>
          <w:rFonts w:asciiTheme="majorHAnsi" w:hAnsiTheme="majorHAnsi" w:cs="Arial"/>
          <w:color w:val="444444"/>
          <w:sz w:val="20"/>
          <w:szCs w:val="20"/>
        </w:rPr>
        <w:t>: г</w:t>
      </w:r>
      <w:r w:rsidRPr="00026A1F">
        <w:rPr>
          <w:rFonts w:asciiTheme="majorHAnsi" w:hAnsiTheme="majorHAnsi" w:cs="Arial"/>
          <w:color w:val="444444"/>
          <w:sz w:val="20"/>
          <w:szCs w:val="20"/>
        </w:rPr>
        <w:noBreakHyphen/>
        <w:t>жа L. Hewlett, главен администратор,</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предвид</w:t>
      </w:r>
      <w:proofErr w:type="gramEnd"/>
      <w:r w:rsidRPr="00026A1F">
        <w:rPr>
          <w:rFonts w:asciiTheme="majorHAnsi" w:hAnsiTheme="majorHAnsi" w:cs="Arial"/>
          <w:color w:val="444444"/>
          <w:sz w:val="20"/>
          <w:szCs w:val="20"/>
        </w:rPr>
        <w:t xml:space="preserve"> изложеното в писмената фаза на производството и в съдебното заседание от 23 януари 2008 г.,</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като</w:t>
      </w:r>
      <w:proofErr w:type="gramEnd"/>
      <w:r w:rsidRPr="00026A1F">
        <w:rPr>
          <w:rFonts w:asciiTheme="majorHAnsi" w:hAnsiTheme="majorHAnsi" w:cs="Arial"/>
          <w:color w:val="444444"/>
          <w:sz w:val="20"/>
          <w:szCs w:val="20"/>
        </w:rPr>
        <w:t xml:space="preserve"> има предвид становищата, представени:</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w:t>
      </w:r>
      <w:proofErr w:type="gramStart"/>
      <w:r w:rsidRPr="00026A1F">
        <w:rPr>
          <w:rFonts w:asciiTheme="majorHAnsi" w:hAnsiTheme="majorHAnsi" w:cs="Arial"/>
          <w:color w:val="444444"/>
          <w:sz w:val="20"/>
          <w:szCs w:val="20"/>
        </w:rPr>
        <w:t>за</w:t>
      </w:r>
      <w:proofErr w:type="gramEnd"/>
      <w:r w:rsidRPr="00026A1F">
        <w:rPr>
          <w:rFonts w:asciiTheme="majorHAnsi" w:hAnsiTheme="majorHAnsi" w:cs="Arial"/>
          <w:color w:val="444444"/>
          <w:sz w:val="20"/>
          <w:szCs w:val="20"/>
        </w:rPr>
        <w:t xml:space="preserve"> Motosykletistiki Omospondia Ellados NPID (MOTOE), от адв. A. Pliakos, dikigoros,</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за гръцкото правителство от г</w:t>
      </w:r>
      <w:r w:rsidRPr="00026A1F">
        <w:rPr>
          <w:rFonts w:asciiTheme="majorHAnsi" w:hAnsiTheme="majorHAnsi" w:cs="Arial"/>
          <w:color w:val="444444"/>
          <w:sz w:val="20"/>
          <w:szCs w:val="20"/>
        </w:rPr>
        <w:noBreakHyphen/>
        <w:t>н S. Spyropoulos, г</w:t>
      </w:r>
      <w:r w:rsidRPr="00026A1F">
        <w:rPr>
          <w:rFonts w:asciiTheme="majorHAnsi" w:hAnsiTheme="majorHAnsi" w:cs="Arial"/>
          <w:color w:val="444444"/>
          <w:sz w:val="20"/>
          <w:szCs w:val="20"/>
        </w:rPr>
        <w:noBreakHyphen/>
        <w:t>н K. Boskovits, г</w:t>
      </w:r>
      <w:r w:rsidRPr="00026A1F">
        <w:rPr>
          <w:rFonts w:asciiTheme="majorHAnsi" w:hAnsiTheme="majorHAnsi" w:cs="Arial"/>
          <w:color w:val="444444"/>
          <w:sz w:val="20"/>
          <w:szCs w:val="20"/>
        </w:rPr>
        <w:noBreakHyphen/>
        <w:t>жа S. Trekli и г</w:t>
      </w:r>
      <w:r w:rsidRPr="00026A1F">
        <w:rPr>
          <w:rFonts w:asciiTheme="majorHAnsi" w:hAnsiTheme="majorHAnsi" w:cs="Arial"/>
          <w:color w:val="444444"/>
          <w:sz w:val="20"/>
          <w:szCs w:val="20"/>
        </w:rPr>
        <w:noBreakHyphen/>
        <w:t>жа Z. Chatzipavlou, в качеството на представители,</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w:t>
      </w:r>
      <w:proofErr w:type="gramStart"/>
      <w:r w:rsidRPr="00026A1F">
        <w:rPr>
          <w:rFonts w:asciiTheme="majorHAnsi" w:hAnsiTheme="majorHAnsi" w:cs="Arial"/>
          <w:color w:val="444444"/>
          <w:sz w:val="20"/>
          <w:szCs w:val="20"/>
        </w:rPr>
        <w:t>за</w:t>
      </w:r>
      <w:proofErr w:type="gramEnd"/>
      <w:r w:rsidRPr="00026A1F">
        <w:rPr>
          <w:rFonts w:asciiTheme="majorHAnsi" w:hAnsiTheme="majorHAnsi" w:cs="Arial"/>
          <w:color w:val="444444"/>
          <w:sz w:val="20"/>
          <w:szCs w:val="20"/>
        </w:rPr>
        <w:t xml:space="preserve"> Комисията на Европейските общности от г</w:t>
      </w:r>
      <w:r w:rsidRPr="00026A1F">
        <w:rPr>
          <w:rFonts w:asciiTheme="majorHAnsi" w:hAnsiTheme="majorHAnsi" w:cs="Arial"/>
          <w:color w:val="444444"/>
          <w:sz w:val="20"/>
          <w:szCs w:val="20"/>
        </w:rPr>
        <w:noBreakHyphen/>
        <w:t>н T. Christoforou и г</w:t>
      </w:r>
      <w:r w:rsidRPr="00026A1F">
        <w:rPr>
          <w:rFonts w:asciiTheme="majorHAnsi" w:hAnsiTheme="majorHAnsi" w:cs="Arial"/>
          <w:color w:val="444444"/>
          <w:sz w:val="20"/>
          <w:szCs w:val="20"/>
        </w:rPr>
        <w:noBreakHyphen/>
        <w:t>н F. Amato, в качеството на представители,</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след</w:t>
      </w:r>
      <w:proofErr w:type="gramEnd"/>
      <w:r w:rsidRPr="00026A1F">
        <w:rPr>
          <w:rFonts w:asciiTheme="majorHAnsi" w:hAnsiTheme="majorHAnsi" w:cs="Arial"/>
          <w:color w:val="444444"/>
          <w:sz w:val="20"/>
          <w:szCs w:val="20"/>
        </w:rPr>
        <w:t xml:space="preserve"> като изслуша заключението на генералния адвокат, представено в съдебното заседание от 6 март 2008 г.,</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proofErr w:type="gramStart"/>
      <w:r w:rsidRPr="00026A1F">
        <w:rPr>
          <w:rFonts w:asciiTheme="majorHAnsi" w:hAnsiTheme="majorHAnsi" w:cs="Arial"/>
          <w:color w:val="444444"/>
          <w:sz w:val="20"/>
          <w:szCs w:val="20"/>
        </w:rPr>
        <w:t>постанови</w:t>
      </w:r>
      <w:proofErr w:type="gramEnd"/>
      <w:r w:rsidRPr="00026A1F">
        <w:rPr>
          <w:rFonts w:asciiTheme="majorHAnsi" w:hAnsiTheme="majorHAnsi" w:cs="Arial"/>
          <w:color w:val="444444"/>
          <w:sz w:val="20"/>
          <w:szCs w:val="20"/>
        </w:rPr>
        <w:t xml:space="preserve"> настоящото</w:t>
      </w:r>
    </w:p>
    <w:p w:rsidR="00067948" w:rsidRPr="00026A1F" w:rsidRDefault="00067948" w:rsidP="00067948">
      <w:pPr>
        <w:pStyle w:val="c75debutdesmotifs"/>
        <w:spacing w:before="120" w:beforeAutospacing="0" w:after="120" w:afterAutospacing="0" w:line="200" w:lineRule="atLeast"/>
        <w:ind w:left="540" w:right="420"/>
        <w:jc w:val="center"/>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Решение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r w:rsidRPr="00026A1F">
        <w:rPr>
          <w:rFonts w:asciiTheme="majorHAnsi" w:hAnsiTheme="majorHAnsi" w:cs="Arial"/>
          <w:color w:val="3366CC"/>
          <w:sz w:val="20"/>
          <w:szCs w:val="20"/>
          <w:bdr w:val="none" w:sz="0" w:space="0" w:color="auto" w:frame="1"/>
        </w:rPr>
        <w:t>1</w:t>
      </w:r>
      <w:bookmarkEnd w:id="1"/>
      <w:r w:rsidRPr="00026A1F">
        <w:rPr>
          <w:rFonts w:asciiTheme="majorHAnsi" w:hAnsiTheme="majorHAnsi" w:cs="Arial"/>
          <w:color w:val="444444"/>
          <w:sz w:val="20"/>
          <w:szCs w:val="20"/>
        </w:rPr>
        <w:t>        Преюдициалното запитване се отнася до тълкуването на членове 82 ЕО и 86 ЕО.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r w:rsidRPr="00026A1F">
        <w:rPr>
          <w:rFonts w:asciiTheme="majorHAnsi" w:hAnsiTheme="majorHAnsi" w:cs="Arial"/>
          <w:color w:val="3366CC"/>
          <w:sz w:val="20"/>
          <w:szCs w:val="20"/>
          <w:bdr w:val="none" w:sz="0" w:space="0" w:color="auto" w:frame="1"/>
        </w:rPr>
        <w:t>2</w:t>
      </w:r>
      <w:bookmarkEnd w:id="2"/>
      <w:r w:rsidRPr="00026A1F">
        <w:rPr>
          <w:rFonts w:asciiTheme="majorHAnsi" w:hAnsiTheme="majorHAnsi" w:cs="Arial"/>
          <w:color w:val="444444"/>
          <w:sz w:val="20"/>
          <w:szCs w:val="20"/>
        </w:rPr>
        <w:t>        Запитването е отправено в рамките на спор между Motosykletistiki Omospondia Ellados NPID (MOTOE) (Гръцка федерация по мотоциклетизъм, наричана по-нататък „MOTOE“) и Elliniko Dimosio (гръцката държава) по повод на парично обезщетение за неимуществената вреда, която MOTOE твърди, че е претърпяла поради мълчаливия отказ на Elliniko Dimosio да ѝ предостави разрешение за организиране на мотоциклетни състезания.</w:t>
      </w:r>
    </w:p>
    <w:p w:rsidR="00067948" w:rsidRPr="00026A1F"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 Правна уредба</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 w:name="point3"/>
      <w:r w:rsidRPr="00026A1F">
        <w:rPr>
          <w:rFonts w:asciiTheme="majorHAnsi" w:hAnsiTheme="majorHAnsi" w:cs="Arial"/>
          <w:color w:val="3366CC"/>
          <w:sz w:val="20"/>
          <w:szCs w:val="20"/>
          <w:bdr w:val="none" w:sz="0" w:space="0" w:color="auto" w:frame="1"/>
        </w:rPr>
        <w:t>3</w:t>
      </w:r>
      <w:bookmarkEnd w:id="4"/>
      <w:r w:rsidRPr="00026A1F">
        <w:rPr>
          <w:rFonts w:asciiTheme="majorHAnsi" w:hAnsiTheme="majorHAnsi" w:cs="Arial"/>
          <w:color w:val="444444"/>
          <w:sz w:val="20"/>
          <w:szCs w:val="20"/>
        </w:rPr>
        <w:t>        По силата на член 49 от гръцкия Закон за движението по пътищата в неговата редакция, произтичаща от Закон № 2696/1999 (FEK A’ 57):</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„1.      Състезания […] с мотоциклети и мотопеди по публични или частни пътища и пространства могат да се провеждат само след разрешение.</w:t>
      </w:r>
    </w:p>
    <w:p w:rsidR="00067948" w:rsidRPr="00026A1F"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2.      Разрешението по предходния параграф се издава:</w:t>
      </w:r>
    </w:p>
    <w:p w:rsidR="00067948" w:rsidRPr="00026A1F" w:rsidRDefault="00067948" w:rsidP="00067948">
      <w:pPr>
        <w:pStyle w:val="c11marge1avecretrait"/>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w:t>
      </w:r>
    </w:p>
    <w:p w:rsidR="00067948" w:rsidRPr="00026A1F" w:rsidRDefault="00067948" w:rsidP="00067948">
      <w:pPr>
        <w:pStyle w:val="c11marge1avecretrait"/>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в)      </w:t>
      </w:r>
      <w:proofErr w:type="gramStart"/>
      <w:r w:rsidRPr="00026A1F">
        <w:rPr>
          <w:rFonts w:asciiTheme="majorHAnsi" w:hAnsiTheme="majorHAnsi" w:cs="Arial"/>
          <w:color w:val="444444"/>
          <w:sz w:val="20"/>
          <w:szCs w:val="20"/>
        </w:rPr>
        <w:t>за</w:t>
      </w:r>
      <w:proofErr w:type="gramEnd"/>
      <w:r w:rsidRPr="00026A1F">
        <w:rPr>
          <w:rFonts w:asciiTheme="majorHAnsi" w:hAnsiTheme="majorHAnsi" w:cs="Arial"/>
          <w:color w:val="444444"/>
          <w:sz w:val="20"/>
          <w:szCs w:val="20"/>
        </w:rPr>
        <w:t xml:space="preserve"> всички състезания […] с мотоциклети и мотопеди — от министъра на обществения ред или от оправомощените от него органи след положително становище на юридическото лице, което е официален </w:t>
      </w:r>
      <w:r w:rsidRPr="00026A1F">
        <w:rPr>
          <w:rFonts w:asciiTheme="majorHAnsi" w:hAnsiTheme="majorHAnsi" w:cs="Arial"/>
          <w:color w:val="444444"/>
          <w:sz w:val="20"/>
          <w:szCs w:val="20"/>
        </w:rPr>
        <w:lastRenderedPageBreak/>
        <w:t>представител в Гърция […] на Международната федерация по мотоциклетизъм [(наричана по-нататък „ФИМ“)]“.</w:t>
      </w:r>
    </w:p>
    <w:p w:rsidR="00067948" w:rsidRPr="00026A1F"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 Спорът по главното производство и преюдициалните въпроси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 w:name="point4"/>
      <w:r w:rsidRPr="00026A1F">
        <w:rPr>
          <w:rFonts w:asciiTheme="majorHAnsi" w:hAnsiTheme="majorHAnsi" w:cs="Arial"/>
          <w:color w:val="3366CC"/>
          <w:sz w:val="20"/>
          <w:szCs w:val="20"/>
          <w:bdr w:val="none" w:sz="0" w:space="0" w:color="auto" w:frame="1"/>
        </w:rPr>
        <w:t>4</w:t>
      </w:r>
      <w:bookmarkEnd w:id="5"/>
      <w:r w:rsidRPr="00026A1F">
        <w:rPr>
          <w:rFonts w:asciiTheme="majorHAnsi" w:hAnsiTheme="majorHAnsi" w:cs="Arial"/>
          <w:color w:val="444444"/>
          <w:sz w:val="20"/>
          <w:szCs w:val="20"/>
        </w:rPr>
        <w:t>        MOTOE е гражданско сдружение с нестопанска цел с предмет на дейност организиране на мотоциклетни състезания в Гърция. Сред членовете му са различни регионални клубове по мотоциклетизъм.</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6" w:name="point5"/>
      <w:r w:rsidRPr="00026A1F">
        <w:rPr>
          <w:rFonts w:asciiTheme="majorHAnsi" w:hAnsiTheme="majorHAnsi" w:cs="Arial"/>
          <w:color w:val="3366CC"/>
          <w:sz w:val="20"/>
          <w:szCs w:val="20"/>
          <w:bdr w:val="none" w:sz="0" w:space="0" w:color="auto" w:frame="1"/>
        </w:rPr>
        <w:t>5</w:t>
      </w:r>
      <w:bookmarkEnd w:id="6"/>
      <w:r w:rsidRPr="00026A1F">
        <w:rPr>
          <w:rFonts w:asciiTheme="majorHAnsi" w:hAnsiTheme="majorHAnsi" w:cs="Arial"/>
          <w:color w:val="444444"/>
          <w:sz w:val="20"/>
          <w:szCs w:val="20"/>
        </w:rPr>
        <w:t>        На 13 февруари 2000 г. това сдружение подава пред компетентния министър заявление за разрешение за организиране на състезанията за Общогръцката купа на MOTOE съгласно приложена към заявлението програма.</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7" w:name="point6"/>
      <w:r w:rsidRPr="00026A1F">
        <w:rPr>
          <w:rFonts w:asciiTheme="majorHAnsi" w:hAnsiTheme="majorHAnsi" w:cs="Arial"/>
          <w:color w:val="3366CC"/>
          <w:sz w:val="20"/>
          <w:szCs w:val="20"/>
          <w:bdr w:val="none" w:sz="0" w:space="0" w:color="auto" w:frame="1"/>
        </w:rPr>
        <w:t>6</w:t>
      </w:r>
      <w:bookmarkEnd w:id="7"/>
      <w:r w:rsidRPr="00026A1F">
        <w:rPr>
          <w:rFonts w:asciiTheme="majorHAnsi" w:hAnsiTheme="majorHAnsi" w:cs="Arial"/>
          <w:color w:val="444444"/>
          <w:sz w:val="20"/>
          <w:szCs w:val="20"/>
        </w:rPr>
        <w:t>        Съгласно член 49, параграф 2 от гръцкия Закон за движението по пътищата тази програма е изпратена на Elliniki Leschi Aftokinitou kai Perigiseon (Гръцки клуб по автомобилизъм и туризъм, наричан по-нататък „ELPA“), юридическо лице, сдружение с нестопанска цел, което е представител на ФИМ в Гърция, за да даде становище по предоставянето на исканото разрешение.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8" w:name="point7"/>
      <w:r w:rsidRPr="00026A1F">
        <w:rPr>
          <w:rFonts w:asciiTheme="majorHAnsi" w:hAnsiTheme="majorHAnsi" w:cs="Arial"/>
          <w:color w:val="3366CC"/>
          <w:sz w:val="20"/>
          <w:szCs w:val="20"/>
          <w:bdr w:val="none" w:sz="0" w:space="0" w:color="auto" w:frame="1"/>
        </w:rPr>
        <w:t>7</w:t>
      </w:r>
      <w:bookmarkEnd w:id="8"/>
      <w:r w:rsidRPr="00026A1F">
        <w:rPr>
          <w:rFonts w:asciiTheme="majorHAnsi" w:hAnsiTheme="majorHAnsi" w:cs="Arial"/>
          <w:color w:val="444444"/>
          <w:sz w:val="20"/>
          <w:szCs w:val="20"/>
        </w:rPr>
        <w:t>        С писмо от 16 март 2000 г. ELPA иска от MOTOE, от една страна, да му изпрати конкретния правилник за всяко от планираните състезания два месеца преди датата на състезанието, за да провери списъка на участниците, маршрута или пистата, на която ще се проведе състезанието, взетите мерки за безопасност, и по-общо за да се увери, че състезанието ще се провежда при условия на пълна безопасност. От друга страна, ELPA иска от клубовете, организиращи състезанията, да представят копие от устава си на Ethniki Epitropi Agonon Motosykletas (Национален комитет по мотоциклетни състезания, наричан по-нататък „ETHEAM“), който е учреден от ELPA и отговаря за организацията и контрола на мотоциклетните състезания.</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9" w:name="point8"/>
      <w:r w:rsidRPr="00026A1F">
        <w:rPr>
          <w:rFonts w:asciiTheme="majorHAnsi" w:hAnsiTheme="majorHAnsi" w:cs="Arial"/>
          <w:color w:val="3366CC"/>
          <w:sz w:val="20"/>
          <w:szCs w:val="20"/>
          <w:bdr w:val="none" w:sz="0" w:space="0" w:color="auto" w:frame="1"/>
        </w:rPr>
        <w:t>8</w:t>
      </w:r>
      <w:bookmarkEnd w:id="9"/>
      <w:r w:rsidRPr="00026A1F">
        <w:rPr>
          <w:rFonts w:asciiTheme="majorHAnsi" w:hAnsiTheme="majorHAnsi" w:cs="Arial"/>
          <w:color w:val="444444"/>
          <w:sz w:val="20"/>
          <w:szCs w:val="20"/>
        </w:rPr>
        <w:t>        Със заявление № 28/5.5.2000, отправено до компетентния министър, MOTOE посочва, че поддържа заявлението си за разрешение за организирането на шест състезания от шест клуба на различни дати в периода от 9 юли до 26 ноември 2000 г. В приложение към заявлението тя прилага конкретните правилници за провеждането на тези състезания, както и копия от уставите на клубовете. Заявлението е изпратено и до ELPA, за да може той да даде становище по провеждането на посочените състезания.</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0" w:name="point9"/>
      <w:r w:rsidRPr="00026A1F">
        <w:rPr>
          <w:rFonts w:asciiTheme="majorHAnsi" w:hAnsiTheme="majorHAnsi" w:cs="Arial"/>
          <w:color w:val="3366CC"/>
          <w:sz w:val="20"/>
          <w:szCs w:val="20"/>
          <w:bdr w:val="none" w:sz="0" w:space="0" w:color="auto" w:frame="1"/>
        </w:rPr>
        <w:t>9</w:t>
      </w:r>
      <w:bookmarkEnd w:id="10"/>
      <w:r w:rsidRPr="00026A1F">
        <w:rPr>
          <w:rFonts w:asciiTheme="majorHAnsi" w:hAnsiTheme="majorHAnsi" w:cs="Arial"/>
          <w:color w:val="444444"/>
          <w:sz w:val="20"/>
          <w:szCs w:val="20"/>
        </w:rPr>
        <w:t>        ELPA и ETHEAM изпращат до MOTOE документ, с който ѝ напомнят някои правила за организирането на мотоциклетни състезания в Гърция. В този документ по-специално се уточнява, че ETHEAM обявява шампионатите, купите и наградите в рамките на мотоциклетните състезания съгласно правата, които са му предоставени от ELPA, който по закон е единственият представител на ФИМ в Гърция. Според този документ ако даден организатор или клуб, които отговарят на изискваниянта за организиране и провеждане на състезания, поиска да обяви купа или специална награда, трябва да представи въпросното обявление на ETHEAM. След като прецени условията му, ETHEAM взема решение, с което определя също така условията за провеждане на състезанието съгласно националните и международните правилници. За да се приеме положително становище за организирането на състезание, включително за купа или награда, всеки организатор, който отговаря за някоя от тези прояви, трябва да изпълни условията, предвидени в Националния правилник за мотоциклетните спортове и в циркулярните писма на ETHEAM. ELPA и ETHEAM също така напомнят на MOTOE, че ако в течение на годината даден организатор поиска да се обявят допълнителни състезания, датите на същите не трябва да се отразяват на вече планираните състезания в интерес както на състезателите, така и на организаторите. Поради това програмите на състезанията, които следва да се организират през 2001 г., трябва да бъдат представени на ELPA и ETHEAM най-късно на 15 септември 2000 г.</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1" w:name="point10"/>
      <w:r w:rsidRPr="00026A1F">
        <w:rPr>
          <w:rFonts w:asciiTheme="majorHAnsi" w:hAnsiTheme="majorHAnsi" w:cs="Arial"/>
          <w:color w:val="3366CC"/>
          <w:sz w:val="20"/>
          <w:szCs w:val="20"/>
          <w:bdr w:val="none" w:sz="0" w:space="0" w:color="auto" w:frame="1"/>
        </w:rPr>
        <w:t>10</w:t>
      </w:r>
      <w:bookmarkEnd w:id="11"/>
      <w:r w:rsidRPr="00026A1F">
        <w:rPr>
          <w:rFonts w:asciiTheme="majorHAnsi" w:hAnsiTheme="majorHAnsi" w:cs="Arial"/>
          <w:color w:val="444444"/>
          <w:sz w:val="20"/>
          <w:szCs w:val="20"/>
        </w:rPr>
        <w:t>      В отговор на искането на MOTOE за информация относно движението на нейните заявления за разрешение, през август 2000 г. компетентният министър ѝ съобщава, че не е получил документ от ELPA, съдържащ положително становище съгласно член 49 от гръцкия Закон за движението по пътищата.</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2" w:name="point11"/>
      <w:r w:rsidRPr="00026A1F">
        <w:rPr>
          <w:rFonts w:asciiTheme="majorHAnsi" w:hAnsiTheme="majorHAnsi" w:cs="Arial"/>
          <w:color w:val="3366CC"/>
          <w:sz w:val="20"/>
          <w:szCs w:val="20"/>
          <w:bdr w:val="none" w:sz="0" w:space="0" w:color="auto" w:frame="1"/>
        </w:rPr>
        <w:t>11</w:t>
      </w:r>
      <w:bookmarkEnd w:id="12"/>
      <w:r w:rsidRPr="00026A1F">
        <w:rPr>
          <w:rFonts w:asciiTheme="majorHAnsi" w:hAnsiTheme="majorHAnsi" w:cs="Arial"/>
          <w:color w:val="444444"/>
          <w:sz w:val="20"/>
          <w:szCs w:val="20"/>
        </w:rPr>
        <w:t>      Тъй като смята този мълчалив отказ за незаконосъобразен, MOTOE предявява иск пред Dioikitiko Protodikeio Athinon (Първоинстанционен административен съд, Атина) за парично обезщетение в размер на 5 000 000 GRD [гръцки драхми] за неимуществената вреда, която твърди, че е претърпяло поради невъзможността си да организира въпросните състезания.</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3" w:name="point12"/>
      <w:r w:rsidRPr="00026A1F">
        <w:rPr>
          <w:rFonts w:asciiTheme="majorHAnsi" w:hAnsiTheme="majorHAnsi" w:cs="Arial"/>
          <w:color w:val="3366CC"/>
          <w:sz w:val="20"/>
          <w:szCs w:val="20"/>
          <w:bdr w:val="none" w:sz="0" w:space="0" w:color="auto" w:frame="1"/>
        </w:rPr>
        <w:t>12</w:t>
      </w:r>
      <w:bookmarkEnd w:id="13"/>
      <w:r w:rsidRPr="00026A1F">
        <w:rPr>
          <w:rFonts w:asciiTheme="majorHAnsi" w:hAnsiTheme="majorHAnsi" w:cs="Arial"/>
          <w:color w:val="444444"/>
          <w:sz w:val="20"/>
          <w:szCs w:val="20"/>
        </w:rPr>
        <w:t>      MOTOE изтъква, че член 49 от гръцкия Закон за движението по пътищата противоречи на конституционния принцип за безпристрастност на административните органи, от една страна, а от друга — на член 82 ЕО и член 86, параграф 1 ЕО, тъй като спорната национална разпоредба позволява на ELPA, който сам организира мотоциклетни състезания, да установи монопол в тази област и да злоупотребява с него.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4" w:name="point13"/>
      <w:r w:rsidRPr="00026A1F">
        <w:rPr>
          <w:rFonts w:asciiTheme="majorHAnsi" w:hAnsiTheme="majorHAnsi" w:cs="Arial"/>
          <w:color w:val="3366CC"/>
          <w:sz w:val="20"/>
          <w:szCs w:val="20"/>
          <w:bdr w:val="none" w:sz="0" w:space="0" w:color="auto" w:frame="1"/>
        </w:rPr>
        <w:t>13</w:t>
      </w:r>
      <w:bookmarkEnd w:id="14"/>
      <w:r w:rsidRPr="00026A1F">
        <w:rPr>
          <w:rFonts w:asciiTheme="majorHAnsi" w:hAnsiTheme="majorHAnsi" w:cs="Arial"/>
          <w:color w:val="444444"/>
          <w:sz w:val="20"/>
          <w:szCs w:val="20"/>
        </w:rPr>
        <w:t>      ELPA встъпва в делото пред Dioikitiko Protodikeio Athinon в подкрепа на исканията на Elliniko Dimosio. Към становището си при встъпване той прилага по-специално своя устав на учредено през 1924 г. сдружение и издавания от ETHEAM годишен сборник за мотоциклетните състезания за 2000 г. Сборникът включва циркулярните писма на ETHEAM за посочената 2000 г., отнасящи се по-специално до документите, които организаторите трябва да представят, за да получат разрешение, до правилниците на състезанията, които трябва да бъдат предоставени, до определянето на таксите за получаване на права и други въпроси от финансово естество. Същият сборник съдържа и Ethnikos Athlitikos Kanonismos Motosikletas (Национален правилник за мотоциклетните спортове, наричан по-нататък „EAKM“).</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5" w:name="point14"/>
      <w:r w:rsidRPr="00026A1F">
        <w:rPr>
          <w:rFonts w:asciiTheme="majorHAnsi" w:hAnsiTheme="majorHAnsi" w:cs="Arial"/>
          <w:color w:val="3366CC"/>
          <w:sz w:val="20"/>
          <w:szCs w:val="20"/>
          <w:bdr w:val="none" w:sz="0" w:space="0" w:color="auto" w:frame="1"/>
        </w:rPr>
        <w:t>14</w:t>
      </w:r>
      <w:bookmarkEnd w:id="15"/>
      <w:r w:rsidRPr="00026A1F">
        <w:rPr>
          <w:rFonts w:asciiTheme="majorHAnsi" w:hAnsiTheme="majorHAnsi" w:cs="Arial"/>
          <w:color w:val="444444"/>
          <w:sz w:val="20"/>
          <w:szCs w:val="20"/>
        </w:rPr>
        <w:t>      По отношение на EAKM е необходимо да се посочи следното:</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lastRenderedPageBreak/>
        <w:t>–        член 10.7 от него предвижда, че всяка спортна среща, която включва състезания в рамките на шампионата, за купите или за наградите на ELPA и ETHEAM, може да бъде съпътствана от търговска реклама на спонсор, посочен в наименованието или допълнителното наименование на състезанията, но само след положително становище на ELPA и ETHEAM,</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член 60.6 от EAKM предвижда, че по време на спортни срещи е позволено да се поставят реклами върху екипите на състезателите и върху техните каски, при условие че това все пак не уврежда техническите характеристики на последните, както и върху мотоциклетите. При състезанията на писта и по мотокрос в рамките на шампионатите, за купите или за наградите на ELPA и на ETHEAM организаторите не могат без разрешение от участника да налагат рекламирането на какъвто и да било продукт върху пилот, друг състезател или мотоциклет. Все пак когато се прилага сключен от ELPA и ETHEAM договор за спонсорство, условията на този договор са задължителни за пилотите, другите състезатели и мотоциклетите,</w:t>
      </w:r>
    </w:p>
    <w:p w:rsidR="00067948" w:rsidRPr="00026A1F"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        по смисъла на член 110.1 от EAKM „организаторът на [мотоциклетно състезание] трябва пряко или чрез надзорния орган [а именно ELPA и ETHEAM] да вземе мерки спортната среща да бъде застрахована, като застраховките трябва да покриват неговата отговорност, отговорността на конструкторите, пилотите, другите състезатели […] за произшествия или вреди, причинени на трети лица в хода на срещата и на тренировките“.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6" w:name="point15"/>
      <w:r w:rsidRPr="00026A1F">
        <w:rPr>
          <w:rFonts w:asciiTheme="majorHAnsi" w:hAnsiTheme="majorHAnsi" w:cs="Arial"/>
          <w:color w:val="3366CC"/>
          <w:sz w:val="20"/>
          <w:szCs w:val="20"/>
          <w:bdr w:val="none" w:sz="0" w:space="0" w:color="auto" w:frame="1"/>
        </w:rPr>
        <w:t>15</w:t>
      </w:r>
      <w:bookmarkEnd w:id="16"/>
      <w:r w:rsidRPr="00026A1F">
        <w:rPr>
          <w:rFonts w:asciiTheme="majorHAnsi" w:hAnsiTheme="majorHAnsi" w:cs="Arial"/>
          <w:color w:val="444444"/>
          <w:sz w:val="20"/>
          <w:szCs w:val="20"/>
        </w:rPr>
        <w:t>      Dioikitiko Protodikeio Athinon отхвърля иска на MOTOE по съображението, че член 49 от гръцкия Закон за движението по пътищата дава възможност да се осигури спазването на международните правила за безопасно организиране на мотоциклетни състезания, от една страна, а от друга — че MOTOE не твърди нито че посочената разпоредба е създала господстващо положение на общия пазар, нито че същата разпоредба може да окаже въздействие върху търговията между държавите-членки, нито че ELPA е злоупотребил с такова положение.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7" w:name="point16"/>
      <w:r w:rsidRPr="00026A1F">
        <w:rPr>
          <w:rFonts w:asciiTheme="majorHAnsi" w:hAnsiTheme="majorHAnsi" w:cs="Arial"/>
          <w:color w:val="3366CC"/>
          <w:sz w:val="20"/>
          <w:szCs w:val="20"/>
          <w:bdr w:val="none" w:sz="0" w:space="0" w:color="auto" w:frame="1"/>
        </w:rPr>
        <w:t>16</w:t>
      </w:r>
      <w:bookmarkEnd w:id="17"/>
      <w:r w:rsidRPr="00026A1F">
        <w:rPr>
          <w:rFonts w:asciiTheme="majorHAnsi" w:hAnsiTheme="majorHAnsi" w:cs="Arial"/>
          <w:color w:val="444444"/>
          <w:sz w:val="20"/>
          <w:szCs w:val="20"/>
        </w:rPr>
        <w:t>      MOTOE обжалва това решение пред Dioikitiko Efeteio Athinon (Апелативен административен съд, Атина), който в началото посочва, че дейностите на ELPA не се ограничават строго до областта на спорта, а именно до правомощието, възложено му с член 49 от гръцкия Закон за движението по пътищата, тъй като той упражнява и дейности, квалифицирани от препращащата юрисдикция като „икономически“, които се състоят във възлагане на договори за спонсорство, реклама и застраховка. Затова Dioikitiko Efeteio Athinon иска да установи дали ELPA може да бъде определен като предприятие по смисъла на общностното право в областта на конкуренцията, и по-конкретно на членове 82 ЕО и 86 ЕО, поради което да е обвързан от забраната за злоупотреба с господстващо положение. Препращащата юрисдикция тълкува член 49 от гръцкия Закон за движението по пътищата в смисъл, че ELPA е единственото юридическо лице, оправомощено да дава становище по заявленията за организиране на мотоциклетни състезания. Тя подчертава факта, че успоредно с организирането на състезания и определянето на награди това сдружение се занимава и с посочените по-горе икономически дейности.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8" w:name="point17"/>
      <w:r w:rsidRPr="00026A1F">
        <w:rPr>
          <w:rFonts w:asciiTheme="majorHAnsi" w:hAnsiTheme="majorHAnsi" w:cs="Arial"/>
          <w:color w:val="3366CC"/>
          <w:sz w:val="20"/>
          <w:szCs w:val="20"/>
          <w:bdr w:val="none" w:sz="0" w:space="0" w:color="auto" w:frame="1"/>
        </w:rPr>
        <w:t>17</w:t>
      </w:r>
      <w:bookmarkEnd w:id="18"/>
      <w:r w:rsidRPr="00026A1F">
        <w:rPr>
          <w:rFonts w:asciiTheme="majorHAnsi" w:hAnsiTheme="majorHAnsi" w:cs="Arial"/>
          <w:color w:val="444444"/>
          <w:sz w:val="20"/>
          <w:szCs w:val="20"/>
        </w:rPr>
        <w:t>      По-нататък Dioikitiko Efeteio Athinon отбелязва, че заявителите, на които е отказано организирането на мотоциклетно състезание, тъй като не са получили положително становище от ELPA, не разполагат с ефективен вътрешноправен способ за обжалване на такова решение. Всъщност от една страна, не било предвидено изискване за мотивиране на отказите на ELPA за положително становище, а от друга страна, когато отказът на компетентния министър да издаде разрешение бъде обжалван по съдебен ред поради липса на мотиви и жалбата бъде уважена, гръцкото право не предвиждало възможност да се предостави разрешение на заявителя. Освен това ELPA не подлежал на контрол или проверка от каквото и да е естество по отношение на това как упражнява правомощието си по член 49 от гръцкия Закон за движението по пътищата. Тези обстоятелства поставяли пред свършен факт всяко лице от друга държава-членка на Европейския съюз, което иска да организира мотоциклетни състезания в Гърция.</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19" w:name="point18"/>
      <w:r w:rsidRPr="00026A1F">
        <w:rPr>
          <w:rFonts w:asciiTheme="majorHAnsi" w:hAnsiTheme="majorHAnsi" w:cs="Arial"/>
          <w:color w:val="3366CC"/>
          <w:sz w:val="20"/>
          <w:szCs w:val="20"/>
          <w:bdr w:val="none" w:sz="0" w:space="0" w:color="auto" w:frame="1"/>
        </w:rPr>
        <w:t>18</w:t>
      </w:r>
      <w:bookmarkEnd w:id="19"/>
      <w:r w:rsidRPr="00026A1F">
        <w:rPr>
          <w:rFonts w:asciiTheme="majorHAnsi" w:hAnsiTheme="majorHAnsi" w:cs="Arial"/>
          <w:color w:val="444444"/>
          <w:sz w:val="20"/>
          <w:szCs w:val="20"/>
        </w:rPr>
        <w:t>      При тези условия Dioikitiko Efeteio Athinon решава да спре производството и да постави на Съда следните преюдициални въпроси:</w:t>
      </w:r>
    </w:p>
    <w:p w:rsidR="00067948" w:rsidRPr="00026A1F" w:rsidRDefault="00067948" w:rsidP="00067948">
      <w:pPr>
        <w:pStyle w:val="c09marge0avecretrait"/>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„1)      Трябва ли членове 82 ЕО и 86 ЕО да се тълкуват в смисъл, че включват в приложното си поле и дейностите, извършвани от юридическо лице, което има качеството на национален представител на [ФИМ] и което осъществява икономически дейности като описаните по-горе чрез сключване на договори за спонсорство, реклама и застраховка във връзка с организираните от него прояви в областта на моторните спортове?</w:t>
      </w:r>
    </w:p>
    <w:p w:rsidR="00067948" w:rsidRPr="00026A1F" w:rsidRDefault="00067948" w:rsidP="00067948">
      <w:pPr>
        <w:pStyle w:val="c09marge0avecretrait"/>
        <w:spacing w:before="120" w:beforeAutospacing="0" w:after="120" w:afterAutospacing="0" w:line="200" w:lineRule="atLeast"/>
        <w:ind w:left="540" w:right="420" w:hanging="567"/>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2)      При утвърдителен отговор, [съвместим ли е член 49 от гръцкия Закон за движението по пътищата] с посочените разпоредби на Договора за ЕО, доколкото този закон предоставя на упоменатото юридическо лице правомощието да дава становище по организирането на състезания с моторни превозни средства, въз основа на което компетентният национален орган (в случая министърът на обществения ред) може да издаде разрешение за организиране на състезанието, без за това правомощие да са предвидени ограничения, задължения и контрол?“</w:t>
      </w:r>
    </w:p>
    <w:p w:rsidR="00067948" w:rsidRPr="00026A1F"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 По преюдициалните въпроси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0" w:name="point19"/>
      <w:r w:rsidRPr="00026A1F">
        <w:rPr>
          <w:rFonts w:asciiTheme="majorHAnsi" w:hAnsiTheme="majorHAnsi" w:cs="Arial"/>
          <w:color w:val="3366CC"/>
          <w:sz w:val="20"/>
          <w:szCs w:val="20"/>
          <w:bdr w:val="none" w:sz="0" w:space="0" w:color="auto" w:frame="1"/>
        </w:rPr>
        <w:t>19</w:t>
      </w:r>
      <w:bookmarkEnd w:id="20"/>
      <w:r w:rsidRPr="00026A1F">
        <w:rPr>
          <w:rFonts w:asciiTheme="majorHAnsi" w:hAnsiTheme="majorHAnsi" w:cs="Arial"/>
          <w:color w:val="444444"/>
          <w:sz w:val="20"/>
          <w:szCs w:val="20"/>
        </w:rPr>
        <w:t>      Със своите въпроси, които следва да бъдат разгледани заедно, препращащата юрисдикция иска по същество да се установи дали юридическо лице — сдружение с нестопанска цел като ELPA, попада в приложното поле на членове 82 ЕО и 86 ЕО, когато дейностите му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от една страна, а от друга — дали тези разпоредби на Договора допускат правило като посоченото в член 49 от гръцкия Закон за движението по пътищата, доколкото с него на такова сдружение се предоставя правомощието да дава становище по подадените заявления за разрешение за организиране на тези състезания, без за това правомощие да са предвидени ограничения, задължения или контрол.</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1" w:name="point20"/>
      <w:r w:rsidRPr="00026A1F">
        <w:rPr>
          <w:rFonts w:asciiTheme="majorHAnsi" w:hAnsiTheme="majorHAnsi" w:cs="Arial"/>
          <w:color w:val="3366CC"/>
          <w:sz w:val="20"/>
          <w:szCs w:val="20"/>
          <w:bdr w:val="none" w:sz="0" w:space="0" w:color="auto" w:frame="1"/>
        </w:rPr>
        <w:t>20</w:t>
      </w:r>
      <w:bookmarkEnd w:id="21"/>
      <w:r w:rsidRPr="00026A1F">
        <w:rPr>
          <w:rFonts w:asciiTheme="majorHAnsi" w:hAnsiTheme="majorHAnsi" w:cs="Arial"/>
          <w:color w:val="444444"/>
          <w:sz w:val="20"/>
          <w:szCs w:val="20"/>
        </w:rPr>
        <w:t>      В това отношение на първо място следва да се напомни, че общностното право на конкуренцията се отнася до дейността на предприятията (Решение от 16 ноември 1977 г. по дело GB-Inno-BM, 13/77, Recueil, стр. 2115, точка 31 и Решение от 11 декември 2007 г. по дело ETI и др., C</w:t>
      </w:r>
      <w:r w:rsidRPr="00026A1F">
        <w:rPr>
          <w:rFonts w:asciiTheme="majorHAnsi" w:hAnsiTheme="majorHAnsi" w:cs="Arial"/>
          <w:color w:val="444444"/>
          <w:sz w:val="20"/>
          <w:szCs w:val="20"/>
        </w:rPr>
        <w:noBreakHyphen/>
        <w:t>280/06, Сборник, стр. I</w:t>
      </w:r>
      <w:r w:rsidRPr="00026A1F">
        <w:rPr>
          <w:rFonts w:asciiTheme="majorHAnsi" w:hAnsiTheme="majorHAnsi" w:cs="Arial"/>
          <w:color w:val="444444"/>
          <w:sz w:val="20"/>
          <w:szCs w:val="20"/>
        </w:rPr>
        <w:noBreakHyphen/>
        <w:t>10893, точка 38 и цитираната съдебна практика). По-конкретно член 82 ЕО се прилага за предприятията, които имат господстващо положение.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2" w:name="point21"/>
      <w:r w:rsidRPr="00026A1F">
        <w:rPr>
          <w:rFonts w:asciiTheme="majorHAnsi" w:hAnsiTheme="majorHAnsi" w:cs="Arial"/>
          <w:color w:val="3366CC"/>
          <w:sz w:val="20"/>
          <w:szCs w:val="20"/>
          <w:bdr w:val="none" w:sz="0" w:space="0" w:color="auto" w:frame="1"/>
        </w:rPr>
        <w:t>21</w:t>
      </w:r>
      <w:bookmarkEnd w:id="22"/>
      <w:r w:rsidRPr="00026A1F">
        <w:rPr>
          <w:rFonts w:asciiTheme="majorHAnsi" w:hAnsiTheme="majorHAnsi" w:cs="Arial"/>
          <w:color w:val="444444"/>
          <w:sz w:val="20"/>
          <w:szCs w:val="20"/>
        </w:rPr>
        <w:t>      Макар че Договорът не съдържа определение на понятието за предприятие, Съдът многократно е постановявал, че така трябва да бъде квалифицирано всяко образувание, което извършва икономическа дейност, независимо от неговата правна форма и начин на финансиране (по-конкретно Решение от 23 април 1991 г. по дело Höfner и Elser, C</w:t>
      </w:r>
      <w:r w:rsidRPr="00026A1F">
        <w:rPr>
          <w:rFonts w:asciiTheme="majorHAnsi" w:hAnsiTheme="majorHAnsi" w:cs="Arial"/>
          <w:color w:val="444444"/>
          <w:sz w:val="20"/>
          <w:szCs w:val="20"/>
        </w:rPr>
        <w:noBreakHyphen/>
        <w:t>41/90, Recueil, стр. I</w:t>
      </w:r>
      <w:r w:rsidRPr="00026A1F">
        <w:rPr>
          <w:rFonts w:asciiTheme="majorHAnsi" w:hAnsiTheme="majorHAnsi" w:cs="Arial"/>
          <w:color w:val="444444"/>
          <w:sz w:val="20"/>
          <w:szCs w:val="20"/>
        </w:rPr>
        <w:noBreakHyphen/>
        <w:t>1979, точка 21 и Решение от 16 март 2004 г. по дело AOK Bundesverband и др., C</w:t>
      </w:r>
      <w:r w:rsidRPr="00026A1F">
        <w:rPr>
          <w:rFonts w:asciiTheme="majorHAnsi" w:hAnsiTheme="majorHAnsi" w:cs="Arial"/>
          <w:color w:val="444444"/>
          <w:sz w:val="20"/>
          <w:szCs w:val="20"/>
        </w:rPr>
        <w:noBreakHyphen/>
        <w:t>264/01, C</w:t>
      </w:r>
      <w:r w:rsidRPr="00026A1F">
        <w:rPr>
          <w:rFonts w:asciiTheme="majorHAnsi" w:hAnsiTheme="majorHAnsi" w:cs="Arial"/>
          <w:color w:val="444444"/>
          <w:sz w:val="20"/>
          <w:szCs w:val="20"/>
        </w:rPr>
        <w:noBreakHyphen/>
        <w:t>306/01, C</w:t>
      </w:r>
      <w:r w:rsidRPr="00026A1F">
        <w:rPr>
          <w:rFonts w:asciiTheme="majorHAnsi" w:hAnsiTheme="majorHAnsi" w:cs="Arial"/>
          <w:color w:val="444444"/>
          <w:sz w:val="20"/>
          <w:szCs w:val="20"/>
        </w:rPr>
        <w:noBreakHyphen/>
        <w:t>354/01 и C</w:t>
      </w:r>
      <w:r w:rsidRPr="00026A1F">
        <w:rPr>
          <w:rFonts w:asciiTheme="majorHAnsi" w:hAnsiTheme="majorHAnsi" w:cs="Arial"/>
          <w:color w:val="444444"/>
          <w:sz w:val="20"/>
          <w:szCs w:val="20"/>
        </w:rPr>
        <w:noBreakHyphen/>
        <w:t>355/01, Recueil, стр. I</w:t>
      </w:r>
      <w:r w:rsidRPr="00026A1F">
        <w:rPr>
          <w:rFonts w:asciiTheme="majorHAnsi" w:hAnsiTheme="majorHAnsi" w:cs="Arial"/>
          <w:color w:val="444444"/>
          <w:sz w:val="20"/>
          <w:szCs w:val="20"/>
        </w:rPr>
        <w:noBreakHyphen/>
        <w:t>2493, точка 46).</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3" w:name="point22"/>
      <w:r w:rsidRPr="00026A1F">
        <w:rPr>
          <w:rFonts w:asciiTheme="majorHAnsi" w:hAnsiTheme="majorHAnsi" w:cs="Arial"/>
          <w:color w:val="3366CC"/>
          <w:sz w:val="20"/>
          <w:szCs w:val="20"/>
          <w:bdr w:val="none" w:sz="0" w:space="0" w:color="auto" w:frame="1"/>
        </w:rPr>
        <w:t>22</w:t>
      </w:r>
      <w:bookmarkEnd w:id="23"/>
      <w:r w:rsidRPr="00026A1F">
        <w:rPr>
          <w:rFonts w:asciiTheme="majorHAnsi" w:hAnsiTheme="majorHAnsi" w:cs="Arial"/>
          <w:color w:val="444444"/>
          <w:sz w:val="20"/>
          <w:szCs w:val="20"/>
        </w:rPr>
        <w:t>      В това отношение следва да се напомни, че икономическа дейност е всяка дейност, която включва предлагане на стоки или услуги на определен пазар (вж. по-специално Решение от 18 юни 1998 г. по дело Комисия/Италия, C</w:t>
      </w:r>
      <w:r w:rsidRPr="00026A1F">
        <w:rPr>
          <w:rFonts w:asciiTheme="majorHAnsi" w:hAnsiTheme="majorHAnsi" w:cs="Arial"/>
          <w:color w:val="444444"/>
          <w:sz w:val="20"/>
          <w:szCs w:val="20"/>
        </w:rPr>
        <w:noBreakHyphen/>
        <w:t>35/96, Recueil, стр. I</w:t>
      </w:r>
      <w:r w:rsidRPr="00026A1F">
        <w:rPr>
          <w:rFonts w:asciiTheme="majorHAnsi" w:hAnsiTheme="majorHAnsi" w:cs="Arial"/>
          <w:color w:val="444444"/>
          <w:sz w:val="20"/>
          <w:szCs w:val="20"/>
        </w:rPr>
        <w:noBreakHyphen/>
        <w:t>3851, точка 36 и Решение от 12 септември 2000 г. по дело Pavlov и др., C</w:t>
      </w:r>
      <w:r w:rsidRPr="00026A1F">
        <w:rPr>
          <w:rFonts w:asciiTheme="majorHAnsi" w:hAnsiTheme="majorHAnsi" w:cs="Arial"/>
          <w:color w:val="444444"/>
          <w:sz w:val="20"/>
          <w:szCs w:val="20"/>
        </w:rPr>
        <w:noBreakHyphen/>
        <w:t>180/98—C</w:t>
      </w:r>
      <w:r w:rsidRPr="00026A1F">
        <w:rPr>
          <w:rFonts w:asciiTheme="majorHAnsi" w:hAnsiTheme="majorHAnsi" w:cs="Arial"/>
          <w:color w:val="444444"/>
          <w:sz w:val="20"/>
          <w:szCs w:val="20"/>
        </w:rPr>
        <w:noBreakHyphen/>
        <w:t>184/98, Recueil, стр. I</w:t>
      </w:r>
      <w:r w:rsidRPr="00026A1F">
        <w:rPr>
          <w:rFonts w:asciiTheme="majorHAnsi" w:hAnsiTheme="majorHAnsi" w:cs="Arial"/>
          <w:color w:val="444444"/>
          <w:sz w:val="20"/>
          <w:szCs w:val="20"/>
        </w:rPr>
        <w:noBreakHyphen/>
        <w:t>6451, точка 75). Доколкото това условие е изпълнено, обстоятелството, че дадена дейност е свързана със спорта, не представлява пречка за прилагането на разпоредбите на Договора (Решение от 12 декември 1974 г. по дело Walrave и Koch, 36/74, Recueil, стр. 1405, точка 4 и Решение от 15 декември 1995 г. по дело Bosman, C</w:t>
      </w:r>
      <w:r w:rsidRPr="00026A1F">
        <w:rPr>
          <w:rFonts w:asciiTheme="majorHAnsi" w:hAnsiTheme="majorHAnsi" w:cs="Arial"/>
          <w:color w:val="444444"/>
          <w:sz w:val="20"/>
          <w:szCs w:val="20"/>
        </w:rPr>
        <w:noBreakHyphen/>
        <w:t>415/93, Recueil, стр. I</w:t>
      </w:r>
      <w:r w:rsidRPr="00026A1F">
        <w:rPr>
          <w:rFonts w:asciiTheme="majorHAnsi" w:hAnsiTheme="majorHAnsi" w:cs="Arial"/>
          <w:color w:val="444444"/>
          <w:sz w:val="20"/>
          <w:szCs w:val="20"/>
        </w:rPr>
        <w:noBreakHyphen/>
        <w:t>4921, точка 73), включително на разпоредбите относно правото на конкуренцията (вж. в този смисъл Решение от 18 юни 2006 г. по дело Meca-Medina и Majcen/Комисия, C</w:t>
      </w:r>
      <w:r w:rsidRPr="00026A1F">
        <w:rPr>
          <w:rFonts w:asciiTheme="majorHAnsi" w:hAnsiTheme="majorHAnsi" w:cs="Arial"/>
          <w:color w:val="444444"/>
          <w:sz w:val="20"/>
          <w:szCs w:val="20"/>
        </w:rPr>
        <w:noBreakHyphen/>
        <w:t>519/04 P, Recueil, стр. I</w:t>
      </w:r>
      <w:r w:rsidRPr="00026A1F">
        <w:rPr>
          <w:rFonts w:asciiTheme="majorHAnsi" w:hAnsiTheme="majorHAnsi" w:cs="Arial"/>
          <w:color w:val="444444"/>
          <w:sz w:val="20"/>
          <w:szCs w:val="20"/>
        </w:rPr>
        <w:noBreakHyphen/>
        <w:t>6991, точки 22 и 28).</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4" w:name="point23"/>
      <w:r w:rsidRPr="00026A1F">
        <w:rPr>
          <w:rFonts w:asciiTheme="majorHAnsi" w:hAnsiTheme="majorHAnsi" w:cs="Arial"/>
          <w:color w:val="3366CC"/>
          <w:sz w:val="20"/>
          <w:szCs w:val="20"/>
          <w:bdr w:val="none" w:sz="0" w:space="0" w:color="auto" w:frame="1"/>
        </w:rPr>
        <w:t>23</w:t>
      </w:r>
      <w:bookmarkEnd w:id="24"/>
      <w:r w:rsidRPr="00026A1F">
        <w:rPr>
          <w:rFonts w:asciiTheme="majorHAnsi" w:hAnsiTheme="majorHAnsi" w:cs="Arial"/>
          <w:color w:val="444444"/>
          <w:sz w:val="20"/>
          <w:szCs w:val="20"/>
        </w:rPr>
        <w:t>      Както се посочва в акта за препращане и както бе потвърдено в хода на съдебното заседание, в сътрудничество с ETHEAM ELPA организира мотоциклетни състезания в Гърция и във връзка с тази дейност сключва договори за спонсорство, реклама и застраховка, предназначени за използването на състезанията с търговска цел. Тези дейности са източник на приходи за ELPA.</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5" w:name="point24"/>
      <w:r w:rsidRPr="00026A1F">
        <w:rPr>
          <w:rFonts w:asciiTheme="majorHAnsi" w:hAnsiTheme="majorHAnsi" w:cs="Arial"/>
          <w:color w:val="3366CC"/>
          <w:sz w:val="20"/>
          <w:szCs w:val="20"/>
          <w:bdr w:val="none" w:sz="0" w:space="0" w:color="auto" w:frame="1"/>
        </w:rPr>
        <w:t>24</w:t>
      </w:r>
      <w:bookmarkEnd w:id="25"/>
      <w:r w:rsidRPr="00026A1F">
        <w:rPr>
          <w:rFonts w:asciiTheme="majorHAnsi" w:hAnsiTheme="majorHAnsi" w:cs="Arial"/>
          <w:color w:val="444444"/>
          <w:sz w:val="20"/>
          <w:szCs w:val="20"/>
        </w:rPr>
        <w:t>      Според практиката на Съда дейностите, произтичащи от упражняването на властнически правомощия, нямат икономически характер, който да обосновава прилагането на правилата на Договора в областта на конкуренцията (вж. в този смисъл Решение от 19 януари 1994 г. по дело SAT Fluggesellschaft, C</w:t>
      </w:r>
      <w:r w:rsidRPr="00026A1F">
        <w:rPr>
          <w:rFonts w:asciiTheme="majorHAnsi" w:hAnsiTheme="majorHAnsi" w:cs="Arial"/>
          <w:color w:val="444444"/>
          <w:sz w:val="20"/>
          <w:szCs w:val="20"/>
        </w:rPr>
        <w:noBreakHyphen/>
        <w:t>364/92, Recueil, стр. I</w:t>
      </w:r>
      <w:r w:rsidRPr="00026A1F">
        <w:rPr>
          <w:rFonts w:asciiTheme="majorHAnsi" w:hAnsiTheme="majorHAnsi" w:cs="Arial"/>
          <w:color w:val="444444"/>
          <w:sz w:val="20"/>
          <w:szCs w:val="20"/>
        </w:rPr>
        <w:noBreakHyphen/>
        <w:t>43, точки 30 и 31).</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6" w:name="point25"/>
      <w:r w:rsidRPr="00026A1F">
        <w:rPr>
          <w:rFonts w:asciiTheme="majorHAnsi" w:hAnsiTheme="majorHAnsi" w:cs="Arial"/>
          <w:color w:val="3366CC"/>
          <w:sz w:val="20"/>
          <w:szCs w:val="20"/>
          <w:bdr w:val="none" w:sz="0" w:space="0" w:color="auto" w:frame="1"/>
        </w:rPr>
        <w:t>25</w:t>
      </w:r>
      <w:bookmarkEnd w:id="26"/>
      <w:r w:rsidRPr="00026A1F">
        <w:rPr>
          <w:rFonts w:asciiTheme="majorHAnsi" w:hAnsiTheme="majorHAnsi" w:cs="Arial"/>
          <w:color w:val="444444"/>
          <w:sz w:val="20"/>
          <w:szCs w:val="20"/>
        </w:rPr>
        <w:t>      Що се отнася до евентуалното отражение на упражняването на властнически правомощия върху квалифицирането на юридическо лице като ELPA като предприятие по смисъла на общностното право в областта на конкуренцията, следва да се отбележи, както прави генералният адвокат в точка 49 от своето заключение, че обстоятелството, че дадено образувание разполага с властнически правомощия при упражняване на част от своите дейности, само по себе си не е пречка то да бъде квалифицирано като предприятие по смисъла на общностното право в областта на конкуренцията във връзка с останалите си икономически дейности (Решение от 24 октомври 2002 г. по дело Aéroports de Paris/Комисия, C</w:t>
      </w:r>
      <w:r w:rsidRPr="00026A1F">
        <w:rPr>
          <w:rFonts w:asciiTheme="majorHAnsi" w:hAnsiTheme="majorHAnsi" w:cs="Arial"/>
          <w:color w:val="444444"/>
          <w:sz w:val="20"/>
          <w:szCs w:val="20"/>
        </w:rPr>
        <w:noBreakHyphen/>
        <w:t>82/01 P, Recueil, стр. I</w:t>
      </w:r>
      <w:r w:rsidRPr="00026A1F">
        <w:rPr>
          <w:rFonts w:asciiTheme="majorHAnsi" w:hAnsiTheme="majorHAnsi" w:cs="Arial"/>
          <w:color w:val="444444"/>
          <w:sz w:val="20"/>
          <w:szCs w:val="20"/>
        </w:rPr>
        <w:noBreakHyphen/>
        <w:t>9297, точка 74). Всъщност квалифицирането на дадена дейност като упражняване на властнически правомощия или като икономическа дейност трябва да се прави отделно за всяка дейност, упражнявана от дадено образувание.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7" w:name="point26"/>
      <w:r w:rsidRPr="00026A1F">
        <w:rPr>
          <w:rFonts w:asciiTheme="majorHAnsi" w:hAnsiTheme="majorHAnsi" w:cs="Arial"/>
          <w:color w:val="3366CC"/>
          <w:sz w:val="20"/>
          <w:szCs w:val="20"/>
          <w:bdr w:val="none" w:sz="0" w:space="0" w:color="auto" w:frame="1"/>
        </w:rPr>
        <w:t>26</w:t>
      </w:r>
      <w:bookmarkEnd w:id="27"/>
      <w:r w:rsidRPr="00026A1F">
        <w:rPr>
          <w:rFonts w:asciiTheme="majorHAnsi" w:hAnsiTheme="majorHAnsi" w:cs="Arial"/>
          <w:color w:val="444444"/>
          <w:sz w:val="20"/>
          <w:szCs w:val="20"/>
        </w:rPr>
        <w:t>      В случая участието на юридическо лице като ELPA в процеса на вземане на решения от органите на власт трябва да се разграничава от икономическите дейности, упражнявани от същото юридическо лице, каквито са организирането и използването с търговска цел на мотоциклетни състезания. Следователно правомощието на такова юридическо лице да дава становище по подадените заявления за разрешение за организиране на състезания не е пречка то да се счита за предприятие по смисъла на общностното право в областта на конкуренцията по отношение на посочените по-горе негови икономически дейности.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8" w:name="point27"/>
      <w:r w:rsidRPr="00026A1F">
        <w:rPr>
          <w:rFonts w:asciiTheme="majorHAnsi" w:hAnsiTheme="majorHAnsi" w:cs="Arial"/>
          <w:color w:val="3366CC"/>
          <w:sz w:val="20"/>
          <w:szCs w:val="20"/>
          <w:bdr w:val="none" w:sz="0" w:space="0" w:color="auto" w:frame="1"/>
        </w:rPr>
        <w:t>27</w:t>
      </w:r>
      <w:bookmarkEnd w:id="28"/>
      <w:r w:rsidRPr="00026A1F">
        <w:rPr>
          <w:rFonts w:asciiTheme="majorHAnsi" w:hAnsiTheme="majorHAnsi" w:cs="Arial"/>
          <w:color w:val="444444"/>
          <w:sz w:val="20"/>
          <w:szCs w:val="20"/>
        </w:rPr>
        <w:t>      Що се отнася до евентуалното отражение върху тази квалификация на факта, че ELPA има нестопанска цел, следва да се напомни, че съгласно постановеното от Съда в Решение от 10 януари 2006 г. по дело Cassa di Risparmio di Firenze и др. (C</w:t>
      </w:r>
      <w:r w:rsidRPr="00026A1F">
        <w:rPr>
          <w:rFonts w:asciiTheme="majorHAnsi" w:hAnsiTheme="majorHAnsi" w:cs="Arial"/>
          <w:color w:val="444444"/>
          <w:sz w:val="20"/>
          <w:szCs w:val="20"/>
        </w:rPr>
        <w:noBreakHyphen/>
        <w:t>222/04, Recueil, стр. I</w:t>
      </w:r>
      <w:r w:rsidRPr="00026A1F">
        <w:rPr>
          <w:rFonts w:asciiTheme="majorHAnsi" w:hAnsiTheme="majorHAnsi" w:cs="Arial"/>
          <w:color w:val="444444"/>
          <w:sz w:val="20"/>
          <w:szCs w:val="20"/>
        </w:rPr>
        <w:noBreakHyphen/>
        <w:t>289, точки 122 и 123) обстоятелството, че предлагането на стоки и услуги се осъществява без стопанска цел, не е пречка за това образуванието, което извършва тези сделки на пазара, да трябва да се счита за предприятие, след като неговите оферти се конкурират с офертите на други оператори, имащи стопанска цел.</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29" w:name="point28"/>
      <w:r w:rsidRPr="00026A1F">
        <w:rPr>
          <w:rFonts w:asciiTheme="majorHAnsi" w:hAnsiTheme="majorHAnsi" w:cs="Arial"/>
          <w:color w:val="3366CC"/>
          <w:sz w:val="20"/>
          <w:szCs w:val="20"/>
          <w:bdr w:val="none" w:sz="0" w:space="0" w:color="auto" w:frame="1"/>
        </w:rPr>
        <w:t>28</w:t>
      </w:r>
      <w:bookmarkEnd w:id="29"/>
      <w:r w:rsidRPr="00026A1F">
        <w:rPr>
          <w:rFonts w:asciiTheme="majorHAnsi" w:hAnsiTheme="majorHAnsi" w:cs="Arial"/>
          <w:color w:val="444444"/>
          <w:sz w:val="20"/>
          <w:szCs w:val="20"/>
        </w:rPr>
        <w:t>      Такъв е случаят с икономическите дейности, упражнявани от юридическо лице като ELPA. Във връзка с това фактът, че MOTOE — жалбоподателят в главното производство, също е сдружение с нестопанска цел, няма никакво значение за квалифицирането на юридическо лице като ELPA като предприятие. От една страна, не е изключено освен сдруженията с нестопанска цел, чиято дейност се състои в организиране и използване с търговска цел на мотоциклетни състезания, в Гърция да съществуват и сдружения, които упражняват тази дейност със стопанска цел и които по този начин са конкуренти на ELPA. От друга страна, сдруженията с нестопанска цел, които предлагат стоки и услуги на даден пазар, може да се намират в конкурентно положение помежду си. Всъщност успехът или икономическото оцеляване на такива сдружения в дългосрочен план зависи от способността им да налагат своите престации на съответния пазар в ущърб на престациите на останалите оператори.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0" w:name="point29"/>
      <w:r w:rsidRPr="00026A1F">
        <w:rPr>
          <w:rFonts w:asciiTheme="majorHAnsi" w:hAnsiTheme="majorHAnsi" w:cs="Arial"/>
          <w:color w:val="3366CC"/>
          <w:sz w:val="20"/>
          <w:szCs w:val="20"/>
          <w:bdr w:val="none" w:sz="0" w:space="0" w:color="auto" w:frame="1"/>
        </w:rPr>
        <w:t>29</w:t>
      </w:r>
      <w:bookmarkEnd w:id="30"/>
      <w:r w:rsidRPr="00026A1F">
        <w:rPr>
          <w:rFonts w:asciiTheme="majorHAnsi" w:hAnsiTheme="majorHAnsi" w:cs="Arial"/>
          <w:color w:val="444444"/>
          <w:sz w:val="20"/>
          <w:szCs w:val="20"/>
        </w:rPr>
        <w:t>      Следователно юридическо лице като ELPA трябва да се счита за предприятие по смисъла на общностното право в областта на конкуренцията. Все пак, за да попада в приложното поле на член 82 ЕО, е необходимо то да има и господстващо положение в рамките на общия пазар или в съществена част от него.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1" w:name="point30"/>
      <w:r w:rsidRPr="00026A1F">
        <w:rPr>
          <w:rFonts w:asciiTheme="majorHAnsi" w:hAnsiTheme="majorHAnsi" w:cs="Arial"/>
          <w:color w:val="3366CC"/>
          <w:sz w:val="20"/>
          <w:szCs w:val="20"/>
          <w:bdr w:val="none" w:sz="0" w:space="0" w:color="auto" w:frame="1"/>
        </w:rPr>
        <w:t>30</w:t>
      </w:r>
      <w:bookmarkEnd w:id="31"/>
      <w:r w:rsidRPr="00026A1F">
        <w:rPr>
          <w:rFonts w:asciiTheme="majorHAnsi" w:hAnsiTheme="majorHAnsi" w:cs="Arial"/>
          <w:color w:val="444444"/>
          <w:sz w:val="20"/>
          <w:szCs w:val="20"/>
        </w:rPr>
        <w:t>      В това отношение следва да се напомни, че в рамките на производство по член 234 ЕО, основано на ясно разделение на правомощията между националните юрисдикции и Съда, националната юрисдикция е компетентна да извърши всяка преценка на обстоятелствата по делото (Решение от 14 февруари 2008 г. по дело Varec, C</w:t>
      </w:r>
      <w:r w:rsidRPr="00026A1F">
        <w:rPr>
          <w:rFonts w:asciiTheme="majorHAnsi" w:hAnsiTheme="majorHAnsi" w:cs="Arial"/>
          <w:color w:val="444444"/>
          <w:sz w:val="20"/>
          <w:szCs w:val="20"/>
        </w:rPr>
        <w:noBreakHyphen/>
        <w:t>450/06, все още непубликувано в Сборника, точка 23). Все пак, за да е полезен със своя отговор, в дух на сътрудничество с националните юрисдикции Съдът може да ѝ предостави всички указания, които счита за необходими.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2" w:name="point31"/>
      <w:r w:rsidRPr="00026A1F">
        <w:rPr>
          <w:rFonts w:asciiTheme="majorHAnsi" w:hAnsiTheme="majorHAnsi" w:cs="Arial"/>
          <w:color w:val="3366CC"/>
          <w:sz w:val="20"/>
          <w:szCs w:val="20"/>
          <w:bdr w:val="none" w:sz="0" w:space="0" w:color="auto" w:frame="1"/>
        </w:rPr>
        <w:t>31</w:t>
      </w:r>
      <w:bookmarkEnd w:id="32"/>
      <w:r w:rsidRPr="00026A1F">
        <w:rPr>
          <w:rFonts w:asciiTheme="majorHAnsi" w:hAnsiTheme="majorHAnsi" w:cs="Arial"/>
          <w:color w:val="444444"/>
          <w:sz w:val="20"/>
          <w:szCs w:val="20"/>
        </w:rPr>
        <w:t>      Преди да може да се прецени дали дадено юридическо лице като ELPA има господстващо положение по смисъла на член 82 ЕО, е необходимо съответният пазар да се определи както от гледна точка на разглеждания продукт или услуга, така и от географска гледна точка (Решение от 14 февруари 1978 г. по дело United Brands и United Brands Continentaal/Комисия, 27/76, Recueil, стр. 207, точка 10).</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3" w:name="point32"/>
      <w:r w:rsidRPr="00026A1F">
        <w:rPr>
          <w:rFonts w:asciiTheme="majorHAnsi" w:hAnsiTheme="majorHAnsi" w:cs="Arial"/>
          <w:color w:val="3366CC"/>
          <w:sz w:val="20"/>
          <w:szCs w:val="20"/>
          <w:bdr w:val="none" w:sz="0" w:space="0" w:color="auto" w:frame="1"/>
        </w:rPr>
        <w:t>32</w:t>
      </w:r>
      <w:bookmarkEnd w:id="33"/>
      <w:r w:rsidRPr="00026A1F">
        <w:rPr>
          <w:rFonts w:asciiTheme="majorHAnsi" w:hAnsiTheme="majorHAnsi" w:cs="Arial"/>
          <w:color w:val="444444"/>
          <w:sz w:val="20"/>
          <w:szCs w:val="20"/>
        </w:rPr>
        <w:t>      Според постоянната съдебна практика за целите на прилагането на член 82 ЕО съответният пазар на стоката или на услугата обхваща стоките или услугите, които са заменими или в достатъчна степен взаимозаменяеми с тази стока или услуга, в зависимост не само от своите обективни характеристики, заради които са особено подходящи да задоволят постоянните нужди на потребителите, но и в зависимост от условията на конкуренция, както и от структурата на търсенето и предлагането на въпросния пазар (вж. в този смисъл Решение от 11 декември 1980 г. по дело L’Oréal, 31/80, Recueil, стр. 3775, точка 25, Решение от 9 ноември 1983 г. по дело Nederlandsche Banden-Industrie-Michelin/Комисия, 322/81, Recueil, стр. 3461, точка 37 и Решение от 3 юли 1991 г. по дело AKZO/Комисия, C</w:t>
      </w:r>
      <w:r w:rsidRPr="00026A1F">
        <w:rPr>
          <w:rFonts w:asciiTheme="majorHAnsi" w:hAnsiTheme="majorHAnsi" w:cs="Arial"/>
          <w:color w:val="444444"/>
          <w:sz w:val="20"/>
          <w:szCs w:val="20"/>
        </w:rPr>
        <w:noBreakHyphen/>
        <w:t>62/86, Recueil, стр. I</w:t>
      </w:r>
      <w:r w:rsidRPr="00026A1F">
        <w:rPr>
          <w:rFonts w:asciiTheme="majorHAnsi" w:hAnsiTheme="majorHAnsi" w:cs="Arial"/>
          <w:color w:val="444444"/>
          <w:sz w:val="20"/>
          <w:szCs w:val="20"/>
        </w:rPr>
        <w:noBreakHyphen/>
        <w:t>3359, точка 51).</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4" w:name="point33"/>
      <w:r w:rsidRPr="00026A1F">
        <w:rPr>
          <w:rFonts w:asciiTheme="majorHAnsi" w:hAnsiTheme="majorHAnsi" w:cs="Arial"/>
          <w:color w:val="3366CC"/>
          <w:sz w:val="20"/>
          <w:szCs w:val="20"/>
          <w:bdr w:val="none" w:sz="0" w:space="0" w:color="auto" w:frame="1"/>
        </w:rPr>
        <w:t>33</w:t>
      </w:r>
      <w:bookmarkEnd w:id="34"/>
      <w:r w:rsidRPr="00026A1F">
        <w:rPr>
          <w:rFonts w:asciiTheme="majorHAnsi" w:hAnsiTheme="majorHAnsi" w:cs="Arial"/>
          <w:color w:val="444444"/>
          <w:sz w:val="20"/>
          <w:szCs w:val="20"/>
        </w:rPr>
        <w:t>      В това отношение трябва да се напомни, че както е видно от акта за препращане, упражняваните от ELPA дейности се състоят в организиране на мотоциклетни състезания, от една страна, а от друга — в тяхното използване с търговска цел чрез договори за спонсорство, реклама и застраховка. Тези два вида дейности не са взаимозаменяеми, а по-скоро функционално се допълват.</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5" w:name="point34"/>
      <w:r w:rsidRPr="00026A1F">
        <w:rPr>
          <w:rFonts w:asciiTheme="majorHAnsi" w:hAnsiTheme="majorHAnsi" w:cs="Arial"/>
          <w:color w:val="3366CC"/>
          <w:sz w:val="20"/>
          <w:szCs w:val="20"/>
          <w:bdr w:val="none" w:sz="0" w:space="0" w:color="auto" w:frame="1"/>
        </w:rPr>
        <w:t>34</w:t>
      </w:r>
      <w:bookmarkEnd w:id="35"/>
      <w:r w:rsidRPr="00026A1F">
        <w:rPr>
          <w:rFonts w:asciiTheme="majorHAnsi" w:hAnsiTheme="majorHAnsi" w:cs="Arial"/>
          <w:color w:val="444444"/>
          <w:sz w:val="20"/>
          <w:szCs w:val="20"/>
        </w:rPr>
        <w:t>      Определянето на съответния географски пазар, както и определянето на пазара на стоките или услугите, предполага преценка от икономическо естество. Географският пазар следователно може да бъде определен като територията, на която всички икономически оператори се намират в сходни условия на конкуренция, що се отнася по-специално до съответните стоки или услуги. От тази гледна точка не е необходимо обективните условия на конкуренция между операторите да бъдат напълно еднородни. Достатъчно е те да бъдат сходни или достатъчно еднородни (вж. в този смисъл Решение по дело United Brands и United Brands Continentaal/Комисия, посочено по-горе, точки 44 и 53). Освен това този пазар може да бъде ограничен само до една държава-членка (вж. в този смисъл Решение по дело Nederlandsche Banden-Industrie-Michelin/Комисия, посочено по-горе, точка 28).</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6" w:name="point35"/>
      <w:r w:rsidRPr="00026A1F">
        <w:rPr>
          <w:rFonts w:asciiTheme="majorHAnsi" w:hAnsiTheme="majorHAnsi" w:cs="Arial"/>
          <w:color w:val="3366CC"/>
          <w:sz w:val="20"/>
          <w:szCs w:val="20"/>
          <w:bdr w:val="none" w:sz="0" w:space="0" w:color="auto" w:frame="1"/>
        </w:rPr>
        <w:t>35</w:t>
      </w:r>
      <w:bookmarkEnd w:id="36"/>
      <w:r w:rsidRPr="00026A1F">
        <w:rPr>
          <w:rFonts w:asciiTheme="majorHAnsi" w:hAnsiTheme="majorHAnsi" w:cs="Arial"/>
          <w:color w:val="444444"/>
          <w:sz w:val="20"/>
          <w:szCs w:val="20"/>
        </w:rPr>
        <w:t>      Както се посочва в акта за препращане и както бе потвърдено в хода на съдебното заседание, упражняваните от ELPA дейности се ограничават до територията на гръцката държава. Територията на дадена държава-членка обаче може да бъде съществена част от общия пазар (вж. в този смисъл Решение от 18 юни 1991 г. по дело ERT, C</w:t>
      </w:r>
      <w:r w:rsidRPr="00026A1F">
        <w:rPr>
          <w:rFonts w:asciiTheme="majorHAnsi" w:hAnsiTheme="majorHAnsi" w:cs="Arial"/>
          <w:color w:val="444444"/>
          <w:sz w:val="20"/>
          <w:szCs w:val="20"/>
        </w:rPr>
        <w:noBreakHyphen/>
        <w:t>260/89, Recueil, стр. I</w:t>
      </w:r>
      <w:r w:rsidRPr="00026A1F">
        <w:rPr>
          <w:rFonts w:asciiTheme="majorHAnsi" w:hAnsiTheme="majorHAnsi" w:cs="Arial"/>
          <w:color w:val="444444"/>
          <w:sz w:val="20"/>
          <w:szCs w:val="20"/>
        </w:rPr>
        <w:noBreakHyphen/>
        <w:t>2925, точка 31). Все пак задължение на препращащата юрисдикция е да провери дали е изпълнен критерият относно сходните или достатъчно еднородни условия на конкуренция.</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7" w:name="point36"/>
      <w:r w:rsidRPr="00026A1F">
        <w:rPr>
          <w:rFonts w:asciiTheme="majorHAnsi" w:hAnsiTheme="majorHAnsi" w:cs="Arial"/>
          <w:color w:val="3366CC"/>
          <w:sz w:val="20"/>
          <w:szCs w:val="20"/>
          <w:bdr w:val="none" w:sz="0" w:space="0" w:color="auto" w:frame="1"/>
        </w:rPr>
        <w:t>36</w:t>
      </w:r>
      <w:bookmarkEnd w:id="37"/>
      <w:r w:rsidRPr="00026A1F">
        <w:rPr>
          <w:rFonts w:asciiTheme="majorHAnsi" w:hAnsiTheme="majorHAnsi" w:cs="Arial"/>
          <w:color w:val="444444"/>
          <w:sz w:val="20"/>
          <w:szCs w:val="20"/>
        </w:rPr>
        <w:t>      Препращащата юрисдикция ще трябва да прецени дали ELPA има господстващо положение именно на така определения пазар.</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8" w:name="point37"/>
      <w:r w:rsidRPr="00026A1F">
        <w:rPr>
          <w:rFonts w:asciiTheme="majorHAnsi" w:hAnsiTheme="majorHAnsi" w:cs="Arial"/>
          <w:color w:val="3366CC"/>
          <w:sz w:val="20"/>
          <w:szCs w:val="20"/>
          <w:bdr w:val="none" w:sz="0" w:space="0" w:color="auto" w:frame="1"/>
        </w:rPr>
        <w:t>37</w:t>
      </w:r>
      <w:bookmarkEnd w:id="38"/>
      <w:r w:rsidRPr="00026A1F">
        <w:rPr>
          <w:rFonts w:asciiTheme="majorHAnsi" w:hAnsiTheme="majorHAnsi" w:cs="Arial"/>
          <w:color w:val="444444"/>
          <w:sz w:val="20"/>
          <w:szCs w:val="20"/>
        </w:rPr>
        <w:t>      В това отношение е необходимо да се напомни, че съгласно съдебната практика понятието за господстващо положение по член 82 ЕО се отнася до състояние на икономическа мощ на дадено предприятие, което му позволява да препятства поддържането на ефективна конкуренция на съответния пазар, като му дава възможност в значителна степен да действа независимо спрямо своите конкуренти, своите клиенти и накрая — спрямо потребителите (Решение по дело United Brands и United Brands Continentaal/Комисия, посочено по-горе, точка 65, Решение от 13 февруари 1979 г. по дело Hoffmann-La Roche/Комисия, 85/76, Recueil, стр. 461, точка 38 и Решение по дело Nederlandsche Banden-Industrie-Michelin/Комисия, посочено по-горе, точка 30).</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39" w:name="point38"/>
      <w:r w:rsidRPr="00026A1F">
        <w:rPr>
          <w:rFonts w:asciiTheme="majorHAnsi" w:hAnsiTheme="majorHAnsi" w:cs="Arial"/>
          <w:color w:val="3366CC"/>
          <w:sz w:val="20"/>
          <w:szCs w:val="20"/>
          <w:bdr w:val="none" w:sz="0" w:space="0" w:color="auto" w:frame="1"/>
        </w:rPr>
        <w:t>38</w:t>
      </w:r>
      <w:bookmarkEnd w:id="39"/>
      <w:r w:rsidRPr="00026A1F">
        <w:rPr>
          <w:rFonts w:asciiTheme="majorHAnsi" w:hAnsiTheme="majorHAnsi" w:cs="Arial"/>
          <w:color w:val="444444"/>
          <w:sz w:val="20"/>
          <w:szCs w:val="20"/>
        </w:rPr>
        <w:t>      Следва да се добави, че дадено предприятие може да бъде поставено в такова положение, когато му бъдат предоставени специални или изключителни права, които му позволяват да определя дали и евентуално при какви условия други предприятия могат да получат достъп до съответния пазар и да упражняват на него своите дейности.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0" w:name="point39"/>
      <w:r w:rsidRPr="00026A1F">
        <w:rPr>
          <w:rFonts w:asciiTheme="majorHAnsi" w:hAnsiTheme="majorHAnsi" w:cs="Arial"/>
          <w:color w:val="3366CC"/>
          <w:sz w:val="20"/>
          <w:szCs w:val="20"/>
          <w:bdr w:val="none" w:sz="0" w:space="0" w:color="auto" w:frame="1"/>
        </w:rPr>
        <w:t>39</w:t>
      </w:r>
      <w:bookmarkEnd w:id="40"/>
      <w:r w:rsidRPr="00026A1F">
        <w:rPr>
          <w:rFonts w:asciiTheme="majorHAnsi" w:hAnsiTheme="majorHAnsi" w:cs="Arial"/>
          <w:color w:val="444444"/>
          <w:sz w:val="20"/>
          <w:szCs w:val="20"/>
        </w:rPr>
        <w:t>      Следва също да се напомни, че член 82 ЕО може да бъде нарушен от правило като въведеното с член 49 от гръцкия Закон за движението по пътищата само ако това засяга търговията между държавите-членки. Както напомня генералният адвокат в точки 63 и 64 от своето заключение, търговията между държавите-членки може да се счита за засегната само ако въз основа на всички обективни фактически и правни обстоятелства е възможно с достатъчна степен на вероятност да се предвиди, че въпросното поведение може да упражни пряко или непряко, действително или потенциално въздействие върху модела на търговията между държавите-членки, и то по начин, който поражда опасения, че се възпрепятства осъществяването на единния пазар между държавите-членки (Решение от 25 октомври 2001 г. по дело Ambulanz Glöckner, C</w:t>
      </w:r>
      <w:r w:rsidRPr="00026A1F">
        <w:rPr>
          <w:rFonts w:asciiTheme="majorHAnsi" w:hAnsiTheme="majorHAnsi" w:cs="Arial"/>
          <w:color w:val="444444"/>
          <w:sz w:val="20"/>
          <w:szCs w:val="20"/>
        </w:rPr>
        <w:noBreakHyphen/>
        <w:t>475/99, стр. I</w:t>
      </w:r>
      <w:r w:rsidRPr="00026A1F">
        <w:rPr>
          <w:rFonts w:asciiTheme="majorHAnsi" w:hAnsiTheme="majorHAnsi" w:cs="Arial"/>
          <w:color w:val="444444"/>
          <w:sz w:val="20"/>
          <w:szCs w:val="20"/>
        </w:rPr>
        <w:noBreakHyphen/>
        <w:t>8089, точка 48). Чисто хипотетичните или теоретични последици, които би могло да има поведението на предприятието в господстващо положение, не отговарят на този критерий. Нещо повече, въздействието върху търговския обмен в Общността не трябва да бъде незначително (Решение от 21 януари 1999 г. по дело Bagnasco и др., C</w:t>
      </w:r>
      <w:r w:rsidRPr="00026A1F">
        <w:rPr>
          <w:rFonts w:asciiTheme="majorHAnsi" w:hAnsiTheme="majorHAnsi" w:cs="Arial"/>
          <w:color w:val="444444"/>
          <w:sz w:val="20"/>
          <w:szCs w:val="20"/>
        </w:rPr>
        <w:noBreakHyphen/>
        <w:t>215/96 и C</w:t>
      </w:r>
      <w:r w:rsidRPr="00026A1F">
        <w:rPr>
          <w:rFonts w:asciiTheme="majorHAnsi" w:hAnsiTheme="majorHAnsi" w:cs="Arial"/>
          <w:color w:val="444444"/>
          <w:sz w:val="20"/>
          <w:szCs w:val="20"/>
        </w:rPr>
        <w:noBreakHyphen/>
        <w:t>216/96, Recueil, стр. I</w:t>
      </w:r>
      <w:r w:rsidRPr="00026A1F">
        <w:rPr>
          <w:rFonts w:asciiTheme="majorHAnsi" w:hAnsiTheme="majorHAnsi" w:cs="Arial"/>
          <w:color w:val="444444"/>
          <w:sz w:val="20"/>
          <w:szCs w:val="20"/>
        </w:rPr>
        <w:noBreakHyphen/>
        <w:t>135, точка 60 и Решение по дело Ambulanz Glöckner, посочено по-горе, точка 48).</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1" w:name="point40"/>
      <w:r w:rsidRPr="00026A1F">
        <w:rPr>
          <w:rFonts w:asciiTheme="majorHAnsi" w:hAnsiTheme="majorHAnsi" w:cs="Arial"/>
          <w:color w:val="3366CC"/>
          <w:sz w:val="20"/>
          <w:szCs w:val="20"/>
          <w:bdr w:val="none" w:sz="0" w:space="0" w:color="auto" w:frame="1"/>
        </w:rPr>
        <w:t>40</w:t>
      </w:r>
      <w:bookmarkEnd w:id="41"/>
      <w:r w:rsidRPr="00026A1F">
        <w:rPr>
          <w:rFonts w:asciiTheme="majorHAnsi" w:hAnsiTheme="majorHAnsi" w:cs="Arial"/>
          <w:color w:val="444444"/>
          <w:sz w:val="20"/>
          <w:szCs w:val="20"/>
        </w:rPr>
        <w:t>      Засягането на търговския обмен в Общността като цяло произтича от кумулативното наличие на няколко фактора, които взети поотделно може и да не са определящи (Решение от 15 декември 1994 г. по дело DLG, C</w:t>
      </w:r>
      <w:r w:rsidRPr="00026A1F">
        <w:rPr>
          <w:rFonts w:asciiTheme="majorHAnsi" w:hAnsiTheme="majorHAnsi" w:cs="Arial"/>
          <w:color w:val="444444"/>
          <w:sz w:val="20"/>
          <w:szCs w:val="20"/>
        </w:rPr>
        <w:noBreakHyphen/>
        <w:t>250/92, Recueil, стр. I</w:t>
      </w:r>
      <w:r w:rsidRPr="00026A1F">
        <w:rPr>
          <w:rFonts w:asciiTheme="majorHAnsi" w:hAnsiTheme="majorHAnsi" w:cs="Arial"/>
          <w:color w:val="444444"/>
          <w:sz w:val="20"/>
          <w:szCs w:val="20"/>
        </w:rPr>
        <w:noBreakHyphen/>
        <w:t>5641, точка 54).</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2" w:name="point41"/>
      <w:r w:rsidRPr="00026A1F">
        <w:rPr>
          <w:rFonts w:asciiTheme="majorHAnsi" w:hAnsiTheme="majorHAnsi" w:cs="Arial"/>
          <w:color w:val="3366CC"/>
          <w:sz w:val="20"/>
          <w:szCs w:val="20"/>
          <w:bdr w:val="none" w:sz="0" w:space="0" w:color="auto" w:frame="1"/>
        </w:rPr>
        <w:t>41</w:t>
      </w:r>
      <w:bookmarkEnd w:id="42"/>
      <w:r w:rsidRPr="00026A1F">
        <w:rPr>
          <w:rFonts w:asciiTheme="majorHAnsi" w:hAnsiTheme="majorHAnsi" w:cs="Arial"/>
          <w:color w:val="444444"/>
          <w:sz w:val="20"/>
          <w:szCs w:val="20"/>
        </w:rPr>
        <w:t>      Впрочем преценката на значителността на засягането на търговията между държавите-членки трябва да отчита поведението на въпросното предприятие в господстващо положение, доколкото член 82 ЕО не допуска поведение, което може да засегне свободния търговски обмен по начин, който би могъл да навреди на осъществяването на целите за единния пазар между държавите-членки, по-конкретно чрез ограничаване на достъпа до националните пазари или чрез изменяне на структурата на конкуренцията на единния пазар (Решение от 31 май 1979 г. по дело Hugin Kassaregister и Hugin Cash Registers/Комисия, 22/78, Recueil, стр. 1869, точка 17).</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3" w:name="point42"/>
      <w:r w:rsidRPr="00026A1F">
        <w:rPr>
          <w:rFonts w:asciiTheme="majorHAnsi" w:hAnsiTheme="majorHAnsi" w:cs="Arial"/>
          <w:color w:val="3366CC"/>
          <w:sz w:val="20"/>
          <w:szCs w:val="20"/>
          <w:bdr w:val="none" w:sz="0" w:space="0" w:color="auto" w:frame="1"/>
        </w:rPr>
        <w:t>42</w:t>
      </w:r>
      <w:bookmarkEnd w:id="43"/>
      <w:r w:rsidRPr="00026A1F">
        <w:rPr>
          <w:rFonts w:asciiTheme="majorHAnsi" w:hAnsiTheme="majorHAnsi" w:cs="Arial"/>
          <w:color w:val="444444"/>
          <w:sz w:val="20"/>
          <w:szCs w:val="20"/>
        </w:rPr>
        <w:t>      Фактът, че поведението на дадено предприятие с господстващо положение има за цел само търговия с продукти в една единствена държава-членка, не е достатъчен, за да се изключи възможността от засягане на търговията между държавите-членки (вж. в този смисъл Решение от 5 декември 2006 г. по дело Cipolla и др., C</w:t>
      </w:r>
      <w:r w:rsidRPr="00026A1F">
        <w:rPr>
          <w:rFonts w:asciiTheme="majorHAnsi" w:hAnsiTheme="majorHAnsi" w:cs="Arial"/>
          <w:color w:val="444444"/>
          <w:sz w:val="20"/>
          <w:szCs w:val="20"/>
        </w:rPr>
        <w:noBreakHyphen/>
        <w:t>94/04 и C</w:t>
      </w:r>
      <w:r w:rsidRPr="00026A1F">
        <w:rPr>
          <w:rFonts w:asciiTheme="majorHAnsi" w:hAnsiTheme="majorHAnsi" w:cs="Arial"/>
          <w:color w:val="444444"/>
          <w:sz w:val="20"/>
          <w:szCs w:val="20"/>
        </w:rPr>
        <w:noBreakHyphen/>
        <w:t>202/04, Recueil, стр. I</w:t>
      </w:r>
      <w:r w:rsidRPr="00026A1F">
        <w:rPr>
          <w:rFonts w:asciiTheme="majorHAnsi" w:hAnsiTheme="majorHAnsi" w:cs="Arial"/>
          <w:color w:val="444444"/>
          <w:sz w:val="20"/>
          <w:szCs w:val="20"/>
        </w:rPr>
        <w:noBreakHyphen/>
        <w:t>11421, точка 45). Всъщност последица от такова поведение може да е засилването на националните ограничения на достъпа до пазара, като се възпрепятства икономическото взаимно обвързване, което Договорът има за цел да реализира (вж. по аналогия Решение от 13 юли 2006 г. по дело Manfredi и др., C</w:t>
      </w:r>
      <w:r w:rsidRPr="00026A1F">
        <w:rPr>
          <w:rFonts w:asciiTheme="majorHAnsi" w:hAnsiTheme="majorHAnsi" w:cs="Arial"/>
          <w:color w:val="444444"/>
          <w:sz w:val="20"/>
          <w:szCs w:val="20"/>
        </w:rPr>
        <w:noBreakHyphen/>
        <w:t>295/04—C</w:t>
      </w:r>
      <w:r w:rsidRPr="00026A1F">
        <w:rPr>
          <w:rFonts w:asciiTheme="majorHAnsi" w:hAnsiTheme="majorHAnsi" w:cs="Arial"/>
          <w:color w:val="444444"/>
          <w:sz w:val="20"/>
          <w:szCs w:val="20"/>
        </w:rPr>
        <w:noBreakHyphen/>
        <w:t>298/04, Recueil, стр. I</w:t>
      </w:r>
      <w:r w:rsidRPr="00026A1F">
        <w:rPr>
          <w:rFonts w:asciiTheme="majorHAnsi" w:hAnsiTheme="majorHAnsi" w:cs="Arial"/>
          <w:color w:val="444444"/>
          <w:sz w:val="20"/>
          <w:szCs w:val="20"/>
        </w:rPr>
        <w:noBreakHyphen/>
        <w:t>6619, точки 45 и 46).</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4" w:name="point43"/>
      <w:r w:rsidRPr="00026A1F">
        <w:rPr>
          <w:rFonts w:asciiTheme="majorHAnsi" w:hAnsiTheme="majorHAnsi" w:cs="Arial"/>
          <w:color w:val="3366CC"/>
          <w:sz w:val="20"/>
          <w:szCs w:val="20"/>
          <w:bdr w:val="none" w:sz="0" w:space="0" w:color="auto" w:frame="1"/>
        </w:rPr>
        <w:t>43</w:t>
      </w:r>
      <w:bookmarkEnd w:id="44"/>
      <w:r w:rsidRPr="00026A1F">
        <w:rPr>
          <w:rFonts w:asciiTheme="majorHAnsi" w:hAnsiTheme="majorHAnsi" w:cs="Arial"/>
          <w:color w:val="444444"/>
          <w:sz w:val="20"/>
          <w:szCs w:val="20"/>
        </w:rPr>
        <w:t>      На второ място, що се отнася до приложното поле на член 86 ЕО, параграф 1 от този член предвижда, че в случаите на предприятия, на които държавите-членки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на Договора в областта на конкуренцията. В тази връзка трябва да се напомни, че юридическо лице като ELPA, на което е предоставено правомощието да дава становище по подадените заявления за разрешение за организиране на мотоциклетни състезания, следва да се счита за предприятие, на което съответната държава-членка е възложила специални права по смисъла на член 86, параграф 1 ЕО.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5" w:name="point44"/>
      <w:r w:rsidRPr="00026A1F">
        <w:rPr>
          <w:rFonts w:asciiTheme="majorHAnsi" w:hAnsiTheme="majorHAnsi" w:cs="Arial"/>
          <w:color w:val="3366CC"/>
          <w:sz w:val="20"/>
          <w:szCs w:val="20"/>
          <w:bdr w:val="none" w:sz="0" w:space="0" w:color="auto" w:frame="1"/>
        </w:rPr>
        <w:t>44</w:t>
      </w:r>
      <w:bookmarkEnd w:id="45"/>
      <w:r w:rsidRPr="00026A1F">
        <w:rPr>
          <w:rFonts w:asciiTheme="majorHAnsi" w:hAnsiTheme="majorHAnsi" w:cs="Arial"/>
          <w:color w:val="444444"/>
          <w:sz w:val="20"/>
          <w:szCs w:val="20"/>
        </w:rPr>
        <w:t>      Член 86, параграф 2 ЕО позволява на държавите-членки да предоставят изключителни права, които могат да възпрепятстват прилагането на правилата на Договора в областта на конкуренцията, на предприятията, които са натоварени с функцията да оказват услуги от общ икономически интерес, доколкото ограниченията на конкуренцията или премахването на всяка конкуренция от страна на други икономически оператори е необходимо, за да се гарантира изпълнението на специфичните задачи, които са възложени на предприятията, титуляри на изключителни права (Решение от 19 май 1993 г. по дело Corbeau, C</w:t>
      </w:r>
      <w:r w:rsidRPr="00026A1F">
        <w:rPr>
          <w:rFonts w:asciiTheme="majorHAnsi" w:hAnsiTheme="majorHAnsi" w:cs="Arial"/>
          <w:color w:val="444444"/>
          <w:sz w:val="20"/>
          <w:szCs w:val="20"/>
        </w:rPr>
        <w:noBreakHyphen/>
        <w:t>320/91, Recueil, стр. I</w:t>
      </w:r>
      <w:r w:rsidRPr="00026A1F">
        <w:rPr>
          <w:rFonts w:asciiTheme="majorHAnsi" w:hAnsiTheme="majorHAnsi" w:cs="Arial"/>
          <w:color w:val="444444"/>
          <w:sz w:val="20"/>
          <w:szCs w:val="20"/>
        </w:rPr>
        <w:noBreakHyphen/>
        <w:t>2533, точка 14).</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6" w:name="point45"/>
      <w:r w:rsidRPr="00026A1F">
        <w:rPr>
          <w:rFonts w:asciiTheme="majorHAnsi" w:hAnsiTheme="majorHAnsi" w:cs="Arial"/>
          <w:color w:val="3366CC"/>
          <w:sz w:val="20"/>
          <w:szCs w:val="20"/>
          <w:bdr w:val="none" w:sz="0" w:space="0" w:color="auto" w:frame="1"/>
        </w:rPr>
        <w:t>45</w:t>
      </w:r>
      <w:bookmarkEnd w:id="46"/>
      <w:r w:rsidRPr="00026A1F">
        <w:rPr>
          <w:rFonts w:asciiTheme="majorHAnsi" w:hAnsiTheme="majorHAnsi" w:cs="Arial"/>
          <w:color w:val="444444"/>
          <w:sz w:val="20"/>
          <w:szCs w:val="20"/>
        </w:rPr>
        <w:t>      По отношение на организирането и използването с търговска цел на мотоциклетни състезания от юридическо лице като ELPA гръцкото правителство не твърди, че с властнически акт ELPA е натоварен с функцията да упражнява тези дейности. Следователно не е необходимо повече да се разглежда въпросът дали посочените дейности могат да представляват услуга от общ икономически интерес (вж. в този смисъл Решение от 21 март 1974 г. по дело BRT и Société belge des auteurs, compositeurs et éditeurs, 127/73, Recueil, стр. 313, точка 20 и Решение от 11 април 1989 г. по дело Saeed Flugreisen и Silver Line Reisebüro, 66/86, Recueil, стр. 803, точка 55).</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7" w:name="point46"/>
      <w:r w:rsidRPr="00026A1F">
        <w:rPr>
          <w:rFonts w:asciiTheme="majorHAnsi" w:hAnsiTheme="majorHAnsi" w:cs="Arial"/>
          <w:color w:val="3366CC"/>
          <w:sz w:val="20"/>
          <w:szCs w:val="20"/>
          <w:bdr w:val="none" w:sz="0" w:space="0" w:color="auto" w:frame="1"/>
        </w:rPr>
        <w:t>46</w:t>
      </w:r>
      <w:bookmarkEnd w:id="47"/>
      <w:r w:rsidRPr="00026A1F">
        <w:rPr>
          <w:rFonts w:asciiTheme="majorHAnsi" w:hAnsiTheme="majorHAnsi" w:cs="Arial"/>
          <w:color w:val="444444"/>
          <w:sz w:val="20"/>
          <w:szCs w:val="20"/>
        </w:rPr>
        <w:t>      Що се отнася до правомощието да се дава становище по подадените заявления за разрешение за организиране на мотоциклетни състезания, то несъмнено произтича от властнически акт, а именно от член 49 от гръцкия Закон за движението по пътищата, но не може да бъде квалифицирано като икономическа дейност, както посочва генералният адвокат в точка 110 от своето заключение.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8" w:name="point47"/>
      <w:r w:rsidRPr="00026A1F">
        <w:rPr>
          <w:rFonts w:asciiTheme="majorHAnsi" w:hAnsiTheme="majorHAnsi" w:cs="Arial"/>
          <w:color w:val="3366CC"/>
          <w:sz w:val="20"/>
          <w:szCs w:val="20"/>
          <w:bdr w:val="none" w:sz="0" w:space="0" w:color="auto" w:frame="1"/>
        </w:rPr>
        <w:t>47</w:t>
      </w:r>
      <w:bookmarkEnd w:id="48"/>
      <w:r w:rsidRPr="00026A1F">
        <w:rPr>
          <w:rFonts w:asciiTheme="majorHAnsi" w:hAnsiTheme="majorHAnsi" w:cs="Arial"/>
          <w:color w:val="444444"/>
          <w:sz w:val="20"/>
          <w:szCs w:val="20"/>
        </w:rPr>
        <w:t>      Следователно юридическо лице като ELPA не може да се счита за предприятие, натоварено с функцията да оказва услуги от общ икономически интерес по смисъла на член 86, параграф 2 ЕО.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49" w:name="point48"/>
      <w:r w:rsidRPr="00026A1F">
        <w:rPr>
          <w:rFonts w:asciiTheme="majorHAnsi" w:hAnsiTheme="majorHAnsi" w:cs="Arial"/>
          <w:color w:val="3366CC"/>
          <w:sz w:val="20"/>
          <w:szCs w:val="20"/>
          <w:bdr w:val="none" w:sz="0" w:space="0" w:color="auto" w:frame="1"/>
        </w:rPr>
        <w:t>48</w:t>
      </w:r>
      <w:bookmarkEnd w:id="49"/>
      <w:r w:rsidRPr="00026A1F">
        <w:rPr>
          <w:rFonts w:asciiTheme="majorHAnsi" w:hAnsiTheme="majorHAnsi" w:cs="Arial"/>
          <w:color w:val="444444"/>
          <w:sz w:val="20"/>
          <w:szCs w:val="20"/>
        </w:rPr>
        <w:t>      На трето място, що се отнася до въпроса дали член 82 ЕО и член 86, параграф 1 ЕО допускат национална правна уредба като член 49 от гръцкия Закон за движението по пътищата, с която на юридическо лице като ELPA, което може да възлага на себе си организирането на мотоциклетни състезания и тяхното използване с търговска цел, се предоставя правомощието да дава становище по подадените заявления за разрешение за организиране на тези състезания, без за това правомощие да са предвидени ограничения, задължения и контрол, следва да се напомни, че фактът на създаване или засилване на господстващо положение чрез предоставяне на специални или изключителни права по смисъла на член 86, параграф 1 ЕО сам по себе си не е несъвместим с член 82 ЕО.</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0" w:name="point49"/>
      <w:r w:rsidRPr="00026A1F">
        <w:rPr>
          <w:rFonts w:asciiTheme="majorHAnsi" w:hAnsiTheme="majorHAnsi" w:cs="Arial"/>
          <w:color w:val="3366CC"/>
          <w:sz w:val="20"/>
          <w:szCs w:val="20"/>
          <w:bdr w:val="none" w:sz="0" w:space="0" w:color="auto" w:frame="1"/>
        </w:rPr>
        <w:t>49</w:t>
      </w:r>
      <w:bookmarkEnd w:id="50"/>
      <w:r w:rsidRPr="00026A1F">
        <w:rPr>
          <w:rFonts w:asciiTheme="majorHAnsi" w:hAnsiTheme="majorHAnsi" w:cs="Arial"/>
          <w:color w:val="444444"/>
          <w:sz w:val="20"/>
          <w:szCs w:val="20"/>
        </w:rPr>
        <w:t>      За сметка на това, държавата-членка нарушава забраните, уредени в посочените две разпоредби, когато разглежданото предприятие е принудено при самото упражняване на предоставените му специални или изключителни права да злоупотребява с господстващото си положение или когато тези права могат да създадат положение, при което същото предприятие да бъде принудено да извършва подобна злоупотреба (Решение по дело Höfner и Elser, посочено по-горе, точка 29, Решение по дело ERT, посочено по-горе, точка 37, Решение от 10 декември 1991 г. по дело Merci convenzionali porto di Genova, C</w:t>
      </w:r>
      <w:r w:rsidRPr="00026A1F">
        <w:rPr>
          <w:rFonts w:asciiTheme="majorHAnsi" w:hAnsiTheme="majorHAnsi" w:cs="Arial"/>
          <w:color w:val="444444"/>
          <w:sz w:val="20"/>
          <w:szCs w:val="20"/>
        </w:rPr>
        <w:noBreakHyphen/>
        <w:t>179/90, Recueil, стр. I</w:t>
      </w:r>
      <w:r w:rsidRPr="00026A1F">
        <w:rPr>
          <w:rFonts w:asciiTheme="majorHAnsi" w:hAnsiTheme="majorHAnsi" w:cs="Arial"/>
          <w:color w:val="444444"/>
          <w:sz w:val="20"/>
          <w:szCs w:val="20"/>
        </w:rPr>
        <w:noBreakHyphen/>
        <w:t>5889, точки 16 и 17, както и Решение от 5 октомври 1994 г. по дело Centre d’insémination de la Crespelle, C</w:t>
      </w:r>
      <w:r w:rsidRPr="00026A1F">
        <w:rPr>
          <w:rFonts w:asciiTheme="majorHAnsi" w:hAnsiTheme="majorHAnsi" w:cs="Arial"/>
          <w:color w:val="444444"/>
          <w:sz w:val="20"/>
          <w:szCs w:val="20"/>
        </w:rPr>
        <w:noBreakHyphen/>
        <w:t>323/93, Recueil, стр. I</w:t>
      </w:r>
      <w:r w:rsidRPr="00026A1F">
        <w:rPr>
          <w:rFonts w:asciiTheme="majorHAnsi" w:hAnsiTheme="majorHAnsi" w:cs="Arial"/>
          <w:color w:val="444444"/>
          <w:sz w:val="20"/>
          <w:szCs w:val="20"/>
        </w:rPr>
        <w:noBreakHyphen/>
        <w:t>5077, точка 18). В този смисъл не е необходимо действително да е налице злоупотреба (вж. в този смисъл Решение от 11 декември 1997 г. по дело Job Centre, C</w:t>
      </w:r>
      <w:r w:rsidRPr="00026A1F">
        <w:rPr>
          <w:rFonts w:asciiTheme="majorHAnsi" w:hAnsiTheme="majorHAnsi" w:cs="Arial"/>
          <w:color w:val="444444"/>
          <w:sz w:val="20"/>
          <w:szCs w:val="20"/>
        </w:rPr>
        <w:noBreakHyphen/>
        <w:t>55/96, стр. I</w:t>
      </w:r>
      <w:r w:rsidRPr="00026A1F">
        <w:rPr>
          <w:rFonts w:asciiTheme="majorHAnsi" w:hAnsiTheme="majorHAnsi" w:cs="Arial"/>
          <w:color w:val="444444"/>
          <w:sz w:val="20"/>
          <w:szCs w:val="20"/>
        </w:rPr>
        <w:noBreakHyphen/>
        <w:t>7119, точка 36).</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1" w:name="point50"/>
      <w:r w:rsidRPr="00026A1F">
        <w:rPr>
          <w:rFonts w:asciiTheme="majorHAnsi" w:hAnsiTheme="majorHAnsi" w:cs="Arial"/>
          <w:color w:val="3366CC"/>
          <w:sz w:val="20"/>
          <w:szCs w:val="20"/>
          <w:bdr w:val="none" w:sz="0" w:space="0" w:color="auto" w:frame="1"/>
        </w:rPr>
        <w:t>50</w:t>
      </w:r>
      <w:bookmarkEnd w:id="51"/>
      <w:r w:rsidRPr="00026A1F">
        <w:rPr>
          <w:rFonts w:asciiTheme="majorHAnsi" w:hAnsiTheme="majorHAnsi" w:cs="Arial"/>
          <w:color w:val="444444"/>
          <w:sz w:val="20"/>
          <w:szCs w:val="20"/>
        </w:rPr>
        <w:t>      При всички положения е налице нарушение на член 82 ЕО и на член 86, параграф 1 ЕО, когато дадена мярка, за която отговорност носи държава-членка, и по-специално мярка, с която тя предоставя специални или изключителни права по смисъла на последната разпоредба, създава опасност от злоупотреба с господстващо положение (вж. в този смисъл Решение по дело ERT, посочено по-горе, точка 37, Решение по дело Merci convenzionali porto di Genova, посочено по-горе, точка 17 и Решение от 31 януари 2008 г. по дело Centro Europa 7, C</w:t>
      </w:r>
      <w:r w:rsidRPr="00026A1F">
        <w:rPr>
          <w:rFonts w:asciiTheme="majorHAnsi" w:hAnsiTheme="majorHAnsi" w:cs="Arial"/>
          <w:color w:val="444444"/>
          <w:sz w:val="20"/>
          <w:szCs w:val="20"/>
        </w:rPr>
        <w:noBreakHyphen/>
        <w:t>380/05, Сборник, стр. I</w:t>
      </w:r>
      <w:r w:rsidRPr="00026A1F">
        <w:rPr>
          <w:rFonts w:asciiTheme="majorHAnsi" w:hAnsiTheme="majorHAnsi" w:cs="Arial"/>
          <w:color w:val="444444"/>
          <w:sz w:val="20"/>
          <w:szCs w:val="20"/>
        </w:rPr>
        <w:noBreakHyphen/>
        <w:t>349, точка 60).</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2" w:name="point51"/>
      <w:r w:rsidRPr="00026A1F">
        <w:rPr>
          <w:rFonts w:asciiTheme="majorHAnsi" w:hAnsiTheme="majorHAnsi" w:cs="Arial"/>
          <w:color w:val="3366CC"/>
          <w:sz w:val="20"/>
          <w:szCs w:val="20"/>
          <w:bdr w:val="none" w:sz="0" w:space="0" w:color="auto" w:frame="1"/>
        </w:rPr>
        <w:t>51</w:t>
      </w:r>
      <w:bookmarkEnd w:id="52"/>
      <w:r w:rsidRPr="00026A1F">
        <w:rPr>
          <w:rFonts w:asciiTheme="majorHAnsi" w:hAnsiTheme="majorHAnsi" w:cs="Arial"/>
          <w:color w:val="444444"/>
          <w:sz w:val="20"/>
          <w:szCs w:val="20"/>
        </w:rPr>
        <w:t>      Всъщност система на ненарушена конкуренция като предвидената в Договора може да бъде гарантирана само ако се осигури равенство на възможностите на различните икономически оператори. Да се възложи на юридическо лице като ELPA, което самò организира и използва с търговска цел мотоциклетни състезания, да дава становище на компетентните административни органи по подадените заявления за разрешение за организиране на такива състезания, de facto е равносилно на това да му се предостави правомощието да определя лицата, на които е разрешено да организират посочените състезания, както и да указва условията, при които се организират последните, като по този начин на това образувание се дава явно предимство спрямо неговите конкуренти (вж. по аналогия Решение от 19 март 1991 г. по дело Франция/Комисия, C</w:t>
      </w:r>
      <w:r w:rsidRPr="00026A1F">
        <w:rPr>
          <w:rFonts w:asciiTheme="majorHAnsi" w:hAnsiTheme="majorHAnsi" w:cs="Arial"/>
          <w:color w:val="444444"/>
          <w:sz w:val="20"/>
          <w:szCs w:val="20"/>
        </w:rPr>
        <w:noBreakHyphen/>
        <w:t>202/88, Recueil, стр. I</w:t>
      </w:r>
      <w:r w:rsidRPr="00026A1F">
        <w:rPr>
          <w:rFonts w:asciiTheme="majorHAnsi" w:hAnsiTheme="majorHAnsi" w:cs="Arial"/>
          <w:color w:val="444444"/>
          <w:sz w:val="20"/>
          <w:szCs w:val="20"/>
        </w:rPr>
        <w:noBreakHyphen/>
        <w:t>1223, точка 51 и Решение от 13 декември 1991 г. по дело GB-Inno-BM, C</w:t>
      </w:r>
      <w:r w:rsidRPr="00026A1F">
        <w:rPr>
          <w:rFonts w:asciiTheme="majorHAnsi" w:hAnsiTheme="majorHAnsi" w:cs="Arial"/>
          <w:color w:val="444444"/>
          <w:sz w:val="20"/>
          <w:szCs w:val="20"/>
        </w:rPr>
        <w:noBreakHyphen/>
        <w:t>18/88, Recueil, стр. I</w:t>
      </w:r>
      <w:r w:rsidRPr="00026A1F">
        <w:rPr>
          <w:rFonts w:asciiTheme="majorHAnsi" w:hAnsiTheme="majorHAnsi" w:cs="Arial"/>
          <w:color w:val="444444"/>
          <w:sz w:val="20"/>
          <w:szCs w:val="20"/>
        </w:rPr>
        <w:noBreakHyphen/>
        <w:t>5941, точка 25). Следователно такова право може да принуди предприятието, което разполага с него, да възпрепятства достъпа на останалите оператори до съответния пазар. Това положение на неравни условия на конкуренция по-нататък се подчертава и от факта, потвърден в хода на съдебното заседание, че когато ELPA организира или участва в организирането на мотоциклетни състезания, от него не се изисква да получи положително становище, за му предоставят компетентните административни органи изискваното разрешение.</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3" w:name="point52"/>
      <w:r w:rsidRPr="00026A1F">
        <w:rPr>
          <w:rFonts w:asciiTheme="majorHAnsi" w:hAnsiTheme="majorHAnsi" w:cs="Arial"/>
          <w:color w:val="3366CC"/>
          <w:sz w:val="20"/>
          <w:szCs w:val="20"/>
          <w:bdr w:val="none" w:sz="0" w:space="0" w:color="auto" w:frame="1"/>
        </w:rPr>
        <w:t>52</w:t>
      </w:r>
      <w:bookmarkEnd w:id="53"/>
      <w:r w:rsidRPr="00026A1F">
        <w:rPr>
          <w:rFonts w:asciiTheme="majorHAnsi" w:hAnsiTheme="majorHAnsi" w:cs="Arial"/>
          <w:color w:val="444444"/>
          <w:sz w:val="20"/>
          <w:szCs w:val="20"/>
        </w:rPr>
        <w:t>      Впрочем такава правна уредба, която дава на юридическо лице като ELPA правомощието да дава становище по подадените заявления за разрешение за организиране на мотоциклетни състезания, без за това правомощие да са предвидени ограничения, задължения или контрол, може да принуди юридическото лице, натоварено с даването на становище, да наруши конкуренцията, като третира по-благоприятно организираните от него състезания или тези, в чието организиране участва.</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4" w:name="point53"/>
      <w:r w:rsidRPr="00026A1F">
        <w:rPr>
          <w:rFonts w:asciiTheme="majorHAnsi" w:hAnsiTheme="majorHAnsi" w:cs="Arial"/>
          <w:color w:val="3366CC"/>
          <w:sz w:val="20"/>
          <w:szCs w:val="20"/>
          <w:bdr w:val="none" w:sz="0" w:space="0" w:color="auto" w:frame="1"/>
        </w:rPr>
        <w:t>53</w:t>
      </w:r>
      <w:bookmarkEnd w:id="54"/>
      <w:r w:rsidRPr="00026A1F">
        <w:rPr>
          <w:rFonts w:asciiTheme="majorHAnsi" w:hAnsiTheme="majorHAnsi" w:cs="Arial"/>
          <w:color w:val="444444"/>
          <w:sz w:val="20"/>
          <w:szCs w:val="20"/>
        </w:rPr>
        <w:t>      Предвид изложените дотук съображения, на поставените въпроси следва да се отговори, че юридическо лице, чиито дейности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попада в приложното поле на членове 82 ЕО и 86 ЕО. Тези членове не допускат национална правна уредба, която предоставя на юридическо лице, което организира мотоциклетни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026A1F"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 По съдебните разноски</w:t>
      </w:r>
    </w:p>
    <w:p w:rsidR="00067948" w:rsidRPr="00026A1F"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color w:val="444444"/>
          <w:sz w:val="20"/>
          <w:szCs w:val="20"/>
        </w:rPr>
      </w:pPr>
      <w:bookmarkStart w:id="55" w:name="point54"/>
      <w:r w:rsidRPr="00026A1F">
        <w:rPr>
          <w:rFonts w:asciiTheme="majorHAnsi" w:hAnsiTheme="majorHAnsi" w:cs="Arial"/>
          <w:color w:val="3366CC"/>
          <w:sz w:val="20"/>
          <w:szCs w:val="20"/>
          <w:bdr w:val="none" w:sz="0" w:space="0" w:color="auto" w:frame="1"/>
        </w:rPr>
        <w:t>54</w:t>
      </w:r>
      <w:bookmarkEnd w:id="55"/>
      <w:r w:rsidRPr="00026A1F">
        <w:rPr>
          <w:rFonts w:asciiTheme="majorHAnsi" w:hAnsiTheme="majorHAnsi" w:cs="Arial"/>
          <w:color w:val="444444"/>
          <w:sz w:val="20"/>
          <w:szCs w:val="20"/>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067948" w:rsidRPr="00026A1F" w:rsidRDefault="00067948" w:rsidP="00067948">
      <w:pPr>
        <w:pStyle w:val="c41dispositifintroduction"/>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По изложените съображения Съдът (голям състав) реши:</w:t>
      </w:r>
    </w:p>
    <w:p w:rsidR="00067948" w:rsidRPr="00026A1F" w:rsidRDefault="00067948" w:rsidP="00067948">
      <w:pPr>
        <w:pStyle w:val="c30dispositifalinea"/>
        <w:spacing w:before="120" w:beforeAutospacing="0" w:after="120" w:afterAutospacing="0" w:line="200" w:lineRule="atLeast"/>
        <w:ind w:left="540" w:right="420"/>
        <w:jc w:val="both"/>
        <w:textAlignment w:val="baseline"/>
        <w:rPr>
          <w:rFonts w:asciiTheme="majorHAnsi" w:hAnsiTheme="majorHAnsi" w:cs="Arial"/>
          <w:b/>
          <w:bCs/>
          <w:color w:val="444444"/>
          <w:sz w:val="20"/>
          <w:szCs w:val="20"/>
        </w:rPr>
      </w:pPr>
      <w:r w:rsidRPr="00026A1F">
        <w:rPr>
          <w:rFonts w:asciiTheme="majorHAnsi" w:hAnsiTheme="majorHAnsi" w:cs="Arial"/>
          <w:b/>
          <w:bCs/>
          <w:color w:val="444444"/>
          <w:sz w:val="20"/>
          <w:szCs w:val="20"/>
        </w:rPr>
        <w:t>Юридическо лице, чиито дейности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попада в приложното поле на членове 82 ЕО и 86 ЕО. Тези членове не допускат национална правна уредба, която предоставя на юридическо лице, което организира мотоциклетни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026A1F" w:rsidRDefault="00067948" w:rsidP="00067948">
      <w:pPr>
        <w:pStyle w:val="c77signatures"/>
        <w:spacing w:before="120" w:beforeAutospacing="0" w:after="120" w:afterAutospacing="0" w:line="200" w:lineRule="atLeast"/>
        <w:ind w:left="540" w:right="420"/>
        <w:jc w:val="both"/>
        <w:textAlignment w:val="baseline"/>
        <w:rPr>
          <w:rFonts w:asciiTheme="majorHAnsi" w:hAnsiTheme="majorHAnsi" w:cs="Arial"/>
          <w:color w:val="444444"/>
          <w:sz w:val="20"/>
          <w:szCs w:val="20"/>
        </w:rPr>
      </w:pPr>
      <w:r w:rsidRPr="00026A1F">
        <w:rPr>
          <w:rFonts w:asciiTheme="majorHAnsi" w:hAnsiTheme="majorHAnsi" w:cs="Arial"/>
          <w:color w:val="444444"/>
          <w:sz w:val="20"/>
          <w:szCs w:val="20"/>
        </w:rPr>
        <w:t>Подписи</w:t>
      </w:r>
    </w:p>
    <w:p w:rsidR="009E4065" w:rsidRPr="00026A1F" w:rsidRDefault="009E4065" w:rsidP="00067948">
      <w:pPr>
        <w:rPr>
          <w:rFonts w:asciiTheme="majorHAnsi" w:hAnsiTheme="majorHAnsi"/>
          <w:sz w:val="20"/>
          <w:szCs w:val="20"/>
        </w:rPr>
      </w:pPr>
    </w:p>
    <w:sectPr w:rsidR="009E4065" w:rsidRPr="00026A1F" w:rsidSect="00026A1F">
      <w:pgSz w:w="12240" w:h="15840"/>
      <w:pgMar w:top="567" w:right="47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2"/>
  </w:compat>
  <w:rsids>
    <w:rsidRoot w:val="00955FD2"/>
    <w:rsid w:val="00026A1F"/>
    <w:rsid w:val="00067948"/>
    <w:rsid w:val="00955FD2"/>
    <w:rsid w:val="009E4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3B8E35-4E4A-4435-A438-54E049AB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FD2"/>
    <w:pPr>
      <w:spacing w:after="0" w:line="240" w:lineRule="auto"/>
    </w:pPr>
    <w:rPr>
      <w:rFonts w:ascii="Arial" w:eastAsia="Times New Roman" w:hAnsi="Arial" w:cs="Arial"/>
      <w:sz w:val="24"/>
      <w:szCs w:val="24"/>
      <w:lang w:val="bg-BG" w:eastAsia="bg-BG"/>
    </w:rPr>
  </w:style>
  <w:style w:type="paragraph" w:styleId="Heading3">
    <w:name w:val="heading 3"/>
    <w:basedOn w:val="Normal"/>
    <w:next w:val="Normal"/>
    <w:link w:val="Heading3Char"/>
    <w:qFormat/>
    <w:rsid w:val="00955FD2"/>
    <w:pPr>
      <w:keepNext/>
      <w:spacing w:before="240" w:after="60"/>
      <w:outlineLvl w:val="2"/>
    </w:pPr>
    <w:rPr>
      <w:b/>
      <w:bCs/>
      <w:sz w:val="26"/>
      <w:szCs w:val="26"/>
    </w:rPr>
  </w:style>
  <w:style w:type="paragraph" w:styleId="Heading4">
    <w:name w:val="heading 4"/>
    <w:basedOn w:val="Normal"/>
    <w:next w:val="Normal"/>
    <w:link w:val="Heading4Char"/>
    <w:qFormat/>
    <w:rsid w:val="00955FD2"/>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955FD2"/>
    <w:pPr>
      <w:spacing w:before="240" w:after="60"/>
      <w:outlineLvl w:val="4"/>
    </w:pPr>
    <w:rPr>
      <w:b/>
      <w:bCs/>
      <w:i/>
      <w:iCs/>
      <w:sz w:val="26"/>
      <w:szCs w:val="26"/>
    </w:rPr>
  </w:style>
  <w:style w:type="paragraph" w:styleId="Heading6">
    <w:name w:val="heading 6"/>
    <w:basedOn w:val="Normal"/>
    <w:next w:val="Normal"/>
    <w:link w:val="Heading6Char"/>
    <w:qFormat/>
    <w:rsid w:val="00955FD2"/>
    <w:pPr>
      <w:spacing w:before="240" w:after="60"/>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5FD2"/>
    <w:rPr>
      <w:rFonts w:ascii="Arial" w:eastAsia="Times New Roman" w:hAnsi="Arial" w:cs="Arial"/>
      <w:b/>
      <w:bCs/>
      <w:sz w:val="26"/>
      <w:szCs w:val="26"/>
      <w:lang w:val="bg-BG" w:eastAsia="bg-BG"/>
    </w:rPr>
  </w:style>
  <w:style w:type="character" w:customStyle="1" w:styleId="Heading4Char">
    <w:name w:val="Heading 4 Char"/>
    <w:basedOn w:val="DefaultParagraphFont"/>
    <w:link w:val="Heading4"/>
    <w:rsid w:val="00955FD2"/>
    <w:rPr>
      <w:rFonts w:ascii="Times New Roman" w:eastAsia="Times New Roman" w:hAnsi="Times New Roman" w:cs="Times New Roman"/>
      <w:b/>
      <w:bCs/>
      <w:sz w:val="28"/>
      <w:szCs w:val="28"/>
      <w:lang w:val="bg-BG" w:eastAsia="bg-BG"/>
    </w:rPr>
  </w:style>
  <w:style w:type="character" w:customStyle="1" w:styleId="Heading5Char">
    <w:name w:val="Heading 5 Char"/>
    <w:basedOn w:val="DefaultParagraphFont"/>
    <w:link w:val="Heading5"/>
    <w:rsid w:val="00955FD2"/>
    <w:rPr>
      <w:rFonts w:ascii="Arial" w:eastAsia="Times New Roman" w:hAnsi="Arial" w:cs="Arial"/>
      <w:b/>
      <w:bCs/>
      <w:i/>
      <w:iCs/>
      <w:sz w:val="26"/>
      <w:szCs w:val="26"/>
      <w:lang w:val="bg-BG" w:eastAsia="bg-BG"/>
    </w:rPr>
  </w:style>
  <w:style w:type="character" w:customStyle="1" w:styleId="Heading6Char">
    <w:name w:val="Heading 6 Char"/>
    <w:basedOn w:val="DefaultParagraphFont"/>
    <w:link w:val="Heading6"/>
    <w:rsid w:val="00955FD2"/>
    <w:rPr>
      <w:rFonts w:ascii="Times New Roman" w:eastAsia="Times New Roman" w:hAnsi="Times New Roman" w:cs="Times New Roman"/>
      <w:b/>
      <w:bCs/>
      <w:lang w:val="bg-BG" w:eastAsia="bg-BG"/>
    </w:rPr>
  </w:style>
  <w:style w:type="character" w:styleId="Hyperlink">
    <w:name w:val="Hyperlink"/>
    <w:basedOn w:val="DefaultParagraphFont"/>
    <w:rsid w:val="00955FD2"/>
    <w:rPr>
      <w:color w:val="0000FF"/>
      <w:u w:val="single"/>
    </w:rPr>
  </w:style>
  <w:style w:type="paragraph" w:customStyle="1" w:styleId="s73alineacentregras">
    <w:name w:val="s73alineacentregras"/>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39centre">
    <w:name w:val="s39centre"/>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71indicateur">
    <w:name w:val="s71indicateur"/>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40titre">
    <w:name w:val="s40titre"/>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35motclenumerote">
    <w:name w:val="s35motclenumerote"/>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37motclefinretrait1">
    <w:name w:val="s37motclefinretrait1"/>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01pointaltn">
    <w:name w:val="s01pointaltn"/>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19marge1">
    <w:name w:val="s19marge1"/>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s36renvoi">
    <w:name w:val="s36renvoi"/>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19centre">
    <w:name w:val="c19centre"/>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71indicateur">
    <w:name w:val="c71indicateur"/>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02alineaalta">
    <w:name w:val="c02alineaalta"/>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03tiretlong">
    <w:name w:val="c03tiretlong"/>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75debutdesmotifs">
    <w:name w:val="c75debutdesmotifs"/>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01pointnumerotealtn">
    <w:name w:val="c01pointnumerotealtn"/>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04titre1">
    <w:name w:val="c04titre1"/>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11marge1avecretrait">
    <w:name w:val="c11marge1avecretrait"/>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09marge0avecretrait">
    <w:name w:val="c09marge0avecretrait"/>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41dispositifintroduction">
    <w:name w:val="c41dispositifintroduction"/>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30dispositifalinea">
    <w:name w:val="c30dispositifalinea"/>
    <w:basedOn w:val="Normal"/>
    <w:rsid w:val="00067948"/>
    <w:pPr>
      <w:spacing w:before="100" w:beforeAutospacing="1" w:after="100" w:afterAutospacing="1"/>
    </w:pPr>
    <w:rPr>
      <w:rFonts w:ascii="Times New Roman" w:hAnsi="Times New Roman" w:cs="Times New Roman"/>
      <w:lang w:val="en-US" w:eastAsia="en-US"/>
    </w:rPr>
  </w:style>
  <w:style w:type="paragraph" w:customStyle="1" w:styleId="c77signatures">
    <w:name w:val="c77signatures"/>
    <w:basedOn w:val="Normal"/>
    <w:rsid w:val="00067948"/>
    <w:pPr>
      <w:spacing w:before="100" w:beforeAutospacing="1" w:after="100" w:afterAutospacing="1"/>
    </w:pPr>
    <w:rPr>
      <w:rFonts w:ascii="Times New Roman" w:hAnsi="Times New Roman" w:cs="Times New Roman"/>
      <w:lang w:val="en-US" w:eastAsia="en-US"/>
    </w:rPr>
  </w:style>
  <w:style w:type="paragraph" w:styleId="BalloonText">
    <w:name w:val="Balloon Text"/>
    <w:basedOn w:val="Normal"/>
    <w:link w:val="BalloonTextChar"/>
    <w:uiPriority w:val="99"/>
    <w:semiHidden/>
    <w:unhideWhenUsed/>
    <w:rsid w:val="00026A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A1F"/>
    <w:rPr>
      <w:rFonts w:ascii="Segoe UI" w:eastAsia="Times New Roman"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94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6073</Words>
  <Characters>34620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2</cp:revision>
  <cp:lastPrinted>2014-11-24T09:16:00Z</cp:lastPrinted>
  <dcterms:created xsi:type="dcterms:W3CDTF">2014-05-28T07:35:00Z</dcterms:created>
  <dcterms:modified xsi:type="dcterms:W3CDTF">2014-11-24T09:16:00Z</dcterms:modified>
</cp:coreProperties>
</file>