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2491" w:rsidRPr="00014163" w:rsidRDefault="00D62491" w:rsidP="00D62491">
      <w:pPr>
        <w:shd w:val="clear" w:color="auto" w:fill="FFFFFF"/>
        <w:spacing w:after="0" w:line="240" w:lineRule="auto"/>
        <w:ind w:left="567"/>
        <w:jc w:val="center"/>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ЗАКЛЮЧЕНИЕ НА ГЕНЕРАЛНИЯ АДВОКАТ</w:t>
      </w:r>
    </w:p>
    <w:p w:rsidR="00D62491" w:rsidRPr="00014163" w:rsidRDefault="00D62491" w:rsidP="00D62491">
      <w:pPr>
        <w:shd w:val="clear" w:color="auto" w:fill="FFFFFF"/>
        <w:spacing w:after="0" w:line="240" w:lineRule="auto"/>
        <w:ind w:left="567"/>
        <w:jc w:val="center"/>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Г</w:t>
      </w:r>
      <w:r w:rsidRPr="00014163">
        <w:rPr>
          <w:rFonts w:asciiTheme="majorHAnsi" w:eastAsia="Times New Roman" w:hAnsiTheme="majorHAnsi" w:cs="Times New Roman"/>
          <w:sz w:val="24"/>
          <w:szCs w:val="24"/>
        </w:rPr>
        <w:noBreakHyphen/>
        <w:t>ЖА JULIANE KOKOTT</w:t>
      </w:r>
    </w:p>
    <w:p w:rsidR="00D62491" w:rsidRPr="00014163" w:rsidRDefault="00D62491" w:rsidP="00D62491">
      <w:pPr>
        <w:shd w:val="clear" w:color="auto" w:fill="FFFFFF"/>
        <w:spacing w:after="0" w:line="240" w:lineRule="auto"/>
        <w:ind w:left="567"/>
        <w:jc w:val="center"/>
        <w:rPr>
          <w:rFonts w:asciiTheme="majorHAnsi" w:eastAsia="Times New Roman" w:hAnsiTheme="majorHAnsi" w:cs="Times New Roman"/>
          <w:sz w:val="24"/>
          <w:szCs w:val="24"/>
        </w:rPr>
      </w:pPr>
      <w:proofErr w:type="gramStart"/>
      <w:r w:rsidRPr="00014163">
        <w:rPr>
          <w:rFonts w:asciiTheme="majorHAnsi" w:eastAsia="Times New Roman" w:hAnsiTheme="majorHAnsi" w:cs="Times New Roman"/>
          <w:sz w:val="24"/>
          <w:szCs w:val="24"/>
        </w:rPr>
        <w:t>представено</w:t>
      </w:r>
      <w:proofErr w:type="gramEnd"/>
      <w:r w:rsidRPr="00014163">
        <w:rPr>
          <w:rFonts w:asciiTheme="majorHAnsi" w:eastAsia="Times New Roman" w:hAnsiTheme="majorHAnsi" w:cs="Times New Roman"/>
          <w:sz w:val="24"/>
          <w:szCs w:val="24"/>
        </w:rPr>
        <w:t xml:space="preserve"> на 6 март 2008 година(</w:t>
      </w:r>
      <w:bookmarkStart w:id="0" w:name="Footref1"/>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"Footnote1"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1</w:t>
      </w:r>
      <w:r w:rsidR="008D746D" w:rsidRPr="00014163">
        <w:rPr>
          <w:rFonts w:asciiTheme="majorHAnsi" w:eastAsia="Times New Roman" w:hAnsiTheme="majorHAnsi" w:cs="Times New Roman"/>
          <w:sz w:val="24"/>
          <w:szCs w:val="24"/>
        </w:rPr>
        <w:fldChar w:fldCharType="end"/>
      </w:r>
      <w:bookmarkEnd w:id="0"/>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840" w:after="840" w:line="240" w:lineRule="auto"/>
        <w:ind w:left="567"/>
        <w:jc w:val="center"/>
        <w:rPr>
          <w:rFonts w:asciiTheme="majorHAnsi" w:eastAsia="Times New Roman" w:hAnsiTheme="majorHAnsi" w:cs="Times New Roman"/>
          <w:b/>
          <w:bCs/>
          <w:sz w:val="24"/>
          <w:szCs w:val="24"/>
        </w:rPr>
      </w:pPr>
      <w:r w:rsidRPr="00014163">
        <w:rPr>
          <w:rFonts w:asciiTheme="majorHAnsi" w:eastAsia="Times New Roman" w:hAnsiTheme="majorHAnsi" w:cs="Times New Roman"/>
          <w:b/>
          <w:bCs/>
          <w:sz w:val="24"/>
          <w:szCs w:val="24"/>
        </w:rPr>
        <w:t>Дело C-49/07</w:t>
      </w:r>
    </w:p>
    <w:p w:rsidR="00D62491" w:rsidRPr="00014163" w:rsidRDefault="00D62491" w:rsidP="00D62491">
      <w:pPr>
        <w:shd w:val="clear" w:color="auto" w:fill="FFFFFF"/>
        <w:spacing w:after="0" w:line="240" w:lineRule="auto"/>
        <w:ind w:left="567"/>
        <w:jc w:val="center"/>
        <w:rPr>
          <w:rFonts w:asciiTheme="majorHAnsi" w:eastAsia="Times New Roman" w:hAnsiTheme="majorHAnsi" w:cs="Times New Roman"/>
          <w:b/>
          <w:bCs/>
          <w:sz w:val="24"/>
          <w:szCs w:val="24"/>
        </w:rPr>
      </w:pPr>
      <w:r w:rsidRPr="00014163">
        <w:rPr>
          <w:rFonts w:asciiTheme="majorHAnsi" w:eastAsia="Times New Roman" w:hAnsiTheme="majorHAnsi" w:cs="Times New Roman"/>
          <w:b/>
          <w:bCs/>
          <w:sz w:val="24"/>
          <w:szCs w:val="24"/>
        </w:rPr>
        <w:t>Motosykletistiki Omospondia Ellados NPID (MOTOE)</w:t>
      </w:r>
    </w:p>
    <w:p w:rsidR="00D62491" w:rsidRPr="00014163" w:rsidRDefault="00D62491" w:rsidP="00D62491">
      <w:pPr>
        <w:shd w:val="clear" w:color="auto" w:fill="FFFFFF"/>
        <w:spacing w:before="600" w:after="0" w:line="240" w:lineRule="auto"/>
        <w:ind w:left="567"/>
        <w:jc w:val="center"/>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(Преюдициално запитване, отправено от Dioikitiko Efeteio Athinon, Гърция)</w:t>
      </w:r>
    </w:p>
    <w:p w:rsidR="00D62491" w:rsidRPr="00014163" w:rsidRDefault="00D62491" w:rsidP="00D62491">
      <w:pPr>
        <w:shd w:val="clear" w:color="auto" w:fill="FFFFFF"/>
        <w:spacing w:before="600" w:after="560" w:line="240" w:lineRule="auto"/>
        <w:ind w:left="567"/>
        <w:jc w:val="center"/>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„Конкуренция — Спорт — Членове 82 ЕО и 86 ЕО — Понятие за предприятие — Икономическа дейност — Злоупотреба с господстващо положение — Предоставяне на специални или изключителни права — Организация с нестопанска цел, която участва при издаването на разрешения от държавата за мотоциклетни състезания, а същевременно сама организира такива състезания и ги реализира на пазара“</w:t>
      </w:r>
    </w:p>
    <w:p w:rsidR="00D62491" w:rsidRPr="00014163" w:rsidRDefault="00D62491" w:rsidP="00D62491">
      <w:pPr>
        <w:spacing w:after="0" w:line="240" w:lineRule="auto"/>
        <w:rPr>
          <w:rFonts w:asciiTheme="majorHAnsi" w:eastAsia="Times New Roman" w:hAnsiTheme="majorHAnsi" w:cs="Times New Roman"/>
          <w:sz w:val="24"/>
          <w:szCs w:val="24"/>
        </w:rPr>
      </w:pP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b/>
          <w:bCs/>
          <w:sz w:val="24"/>
          <w:szCs w:val="24"/>
        </w:rPr>
      </w:pPr>
      <w:r w:rsidRPr="00014163">
        <w:rPr>
          <w:rFonts w:asciiTheme="majorHAnsi" w:eastAsia="Times New Roman" w:hAnsiTheme="majorHAnsi" w:cs="Times New Roman"/>
          <w:b/>
          <w:bCs/>
          <w:sz w:val="24"/>
          <w:szCs w:val="24"/>
        </w:rPr>
        <w:t>I –    Въведение</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        В настоящия случай пред Съда за пореден път е поставен въпросът какви задължения в областта на спорта произтичат от европейското право на конкуренцията. Пресечна точка на интересите се явява двойствената роля, която играе Гръцкият клуб по автомобилизъм и туризъм, наричан по-нататък „ELPA“(</w:t>
      </w:r>
      <w:bookmarkStart w:id="1" w:name="Footref2"/>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"Footnote2"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2</w:t>
      </w:r>
      <w:r w:rsidR="008D746D" w:rsidRPr="00014163">
        <w:rPr>
          <w:rFonts w:asciiTheme="majorHAnsi" w:eastAsia="Times New Roman" w:hAnsiTheme="majorHAnsi" w:cs="Times New Roman"/>
          <w:sz w:val="24"/>
          <w:szCs w:val="24"/>
        </w:rPr>
        <w:fldChar w:fldCharType="end"/>
      </w:r>
      <w:bookmarkEnd w:id="1"/>
      <w:r w:rsidRPr="00014163">
        <w:rPr>
          <w:rFonts w:asciiTheme="majorHAnsi" w:eastAsia="Times New Roman" w:hAnsiTheme="majorHAnsi" w:cs="Times New Roman"/>
          <w:sz w:val="24"/>
          <w:szCs w:val="24"/>
        </w:rPr>
        <w:t>), във връзка с прояви в областта на моторните спортове.</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2.        Тази двойствена роля на ELPA може да бъде описана по следния начин: от една страна, ELPA поема организацията на състезания в Гърция в областта на моторните спортове; за тази цел ELPA е създал Национален комитет по мотоциклетни състезания, наричан по-нататък „ETHEAM“(</w:t>
      </w:r>
      <w:bookmarkStart w:id="2" w:name="Footref3"/>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"Footnote3"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3</w:t>
      </w:r>
      <w:r w:rsidR="008D746D" w:rsidRPr="00014163">
        <w:rPr>
          <w:rFonts w:asciiTheme="majorHAnsi" w:eastAsia="Times New Roman" w:hAnsiTheme="majorHAnsi" w:cs="Times New Roman"/>
          <w:sz w:val="24"/>
          <w:szCs w:val="24"/>
        </w:rPr>
        <w:fldChar w:fldCharType="end"/>
      </w:r>
      <w:bookmarkEnd w:id="2"/>
      <w:r w:rsidRPr="00014163">
        <w:rPr>
          <w:rFonts w:asciiTheme="majorHAnsi" w:eastAsia="Times New Roman" w:hAnsiTheme="majorHAnsi" w:cs="Times New Roman"/>
          <w:sz w:val="24"/>
          <w:szCs w:val="24"/>
        </w:rPr>
        <w:t xml:space="preserve">), и му е възложил контрола и организацията на мотоциклетните състезания. </w:t>
      </w:r>
      <w:proofErr w:type="gramStart"/>
      <w:r w:rsidRPr="00014163">
        <w:rPr>
          <w:rFonts w:asciiTheme="majorHAnsi" w:eastAsia="Times New Roman" w:hAnsiTheme="majorHAnsi" w:cs="Times New Roman"/>
          <w:sz w:val="24"/>
          <w:szCs w:val="24"/>
        </w:rPr>
        <w:t>От друга страна обаче, ELPA участва във вземането на административни решения за разрешаване на мотоциклетни състезания, тъй като тези разрешения съгласно гръцкото законодателство могат да бъдат предоставяни само след положително становище на ELPA.</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3.        Тази двойствена роля на ELPA се е отразила негативно на дейността на независимата Гръцка федерация по мотоциклетизъм, наричана по-нататък „MOTOE“(</w:t>
      </w:r>
      <w:bookmarkStart w:id="3" w:name="Footref4"/>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"Footnote4"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4</w:t>
      </w:r>
      <w:r w:rsidR="008D746D" w:rsidRPr="00014163">
        <w:rPr>
          <w:rFonts w:asciiTheme="majorHAnsi" w:eastAsia="Times New Roman" w:hAnsiTheme="majorHAnsi" w:cs="Times New Roman"/>
          <w:sz w:val="24"/>
          <w:szCs w:val="24"/>
        </w:rPr>
        <w:fldChar w:fldCharType="end"/>
      </w:r>
      <w:bookmarkEnd w:id="3"/>
      <w:r w:rsidRPr="00014163">
        <w:rPr>
          <w:rFonts w:asciiTheme="majorHAnsi" w:eastAsia="Times New Roman" w:hAnsiTheme="majorHAnsi" w:cs="Times New Roman"/>
          <w:sz w:val="24"/>
          <w:szCs w:val="24"/>
        </w:rPr>
        <w:t xml:space="preserve">). Когато през 2000 г. MOTOE се опитва да организира в Гърция поредица от мотоциклетни състезания на своя отговорност, тя не получава </w:t>
      </w:r>
      <w:r w:rsidRPr="00014163">
        <w:rPr>
          <w:rFonts w:asciiTheme="majorHAnsi" w:eastAsia="Times New Roman" w:hAnsiTheme="majorHAnsi" w:cs="Times New Roman"/>
          <w:sz w:val="24"/>
          <w:szCs w:val="24"/>
        </w:rPr>
        <w:lastRenderedPageBreak/>
        <w:t>разрешение за това, тъй като ELPA не предоставя съгласието си на компетентния административен орган.</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4.        От гледна точка на правото на конкуренцията това обстоятелство води до въпроса дали двойствена роля като тази на ELPA е съвместима с членове 82 ЕО и 86 ЕО. </w:t>
      </w:r>
      <w:proofErr w:type="gramStart"/>
      <w:r w:rsidRPr="00014163">
        <w:rPr>
          <w:rFonts w:asciiTheme="majorHAnsi" w:eastAsia="Times New Roman" w:hAnsiTheme="majorHAnsi" w:cs="Times New Roman"/>
          <w:sz w:val="24"/>
          <w:szCs w:val="24"/>
        </w:rPr>
        <w:t>В този случай обаче предварителният въпрос, който трябва да бъде уточнен, е дали и доколко дейността на организациите с нестопанска цел като ELPA в областта на спорта изобщо се регламентира от общностното право на конкуренцията.</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b/>
          <w:bCs/>
          <w:sz w:val="24"/>
          <w:szCs w:val="24"/>
        </w:rPr>
      </w:pPr>
      <w:r w:rsidRPr="00014163">
        <w:rPr>
          <w:rFonts w:asciiTheme="majorHAnsi" w:eastAsia="Times New Roman" w:hAnsiTheme="majorHAnsi" w:cs="Times New Roman"/>
          <w:b/>
          <w:bCs/>
          <w:sz w:val="24"/>
          <w:szCs w:val="24"/>
        </w:rPr>
        <w:t>II – Правна уредба</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i/>
          <w:iCs/>
          <w:sz w:val="24"/>
          <w:szCs w:val="24"/>
        </w:rPr>
      </w:pPr>
      <w:r w:rsidRPr="00014163">
        <w:rPr>
          <w:rFonts w:asciiTheme="majorHAnsi" w:eastAsia="Times New Roman" w:hAnsiTheme="majorHAnsi" w:cs="Times New Roman"/>
          <w:i/>
          <w:iCs/>
          <w:sz w:val="24"/>
          <w:szCs w:val="24"/>
        </w:rPr>
        <w:t> А – Общностно право</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5.        Общностноправната уредба по този случай се определя от разпоредбите в областта на конкуренцията на членове 82 ЕО и 86 ЕО.</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6.        Член 82 ЕО гласи следното:</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sz w:val="24"/>
          <w:szCs w:val="24"/>
        </w:rPr>
      </w:pPr>
      <w:proofErr w:type="gramStart"/>
      <w:r w:rsidRPr="00014163">
        <w:rPr>
          <w:rFonts w:asciiTheme="majorHAnsi" w:eastAsia="Times New Roman" w:hAnsiTheme="majorHAnsi" w:cs="Times New Roman"/>
          <w:sz w:val="24"/>
          <w:szCs w:val="24"/>
        </w:rPr>
        <w:t>„Забранена като несъвместима с общия пазар е всяка злоупотреба от страна на едно или повече предприятия с господстващо положение в рамките на общия пазар или в съществена част от него, доколкото тя може да повлияе върху търговията между държавите-членки.</w:t>
      </w:r>
      <w:proofErr w:type="gramEnd"/>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Такава злоупотреба в частност може да се изразява в:</w:t>
      </w:r>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а)      </w:t>
      </w:r>
      <w:proofErr w:type="gramStart"/>
      <w:r w:rsidRPr="00014163">
        <w:rPr>
          <w:rFonts w:asciiTheme="majorHAnsi" w:eastAsia="Times New Roman" w:hAnsiTheme="majorHAnsi" w:cs="Times New Roman"/>
          <w:sz w:val="24"/>
          <w:szCs w:val="24"/>
        </w:rPr>
        <w:t>пряко</w:t>
      </w:r>
      <w:proofErr w:type="gramEnd"/>
      <w:r w:rsidRPr="00014163">
        <w:rPr>
          <w:rFonts w:asciiTheme="majorHAnsi" w:eastAsia="Times New Roman" w:hAnsiTheme="majorHAnsi" w:cs="Times New Roman"/>
          <w:sz w:val="24"/>
          <w:szCs w:val="24"/>
        </w:rPr>
        <w:t xml:space="preserve"> или косвено налагане на нелоялни покупни или продажни цени или на други несправедливи условия за търговия;</w:t>
      </w:r>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б)      </w:t>
      </w:r>
      <w:proofErr w:type="gramStart"/>
      <w:r w:rsidRPr="00014163">
        <w:rPr>
          <w:rFonts w:asciiTheme="majorHAnsi" w:eastAsia="Times New Roman" w:hAnsiTheme="majorHAnsi" w:cs="Times New Roman"/>
          <w:sz w:val="24"/>
          <w:szCs w:val="24"/>
        </w:rPr>
        <w:t>ограничаване</w:t>
      </w:r>
      <w:proofErr w:type="gramEnd"/>
      <w:r w:rsidRPr="00014163">
        <w:rPr>
          <w:rFonts w:asciiTheme="majorHAnsi" w:eastAsia="Times New Roman" w:hAnsiTheme="majorHAnsi" w:cs="Times New Roman"/>
          <w:sz w:val="24"/>
          <w:szCs w:val="24"/>
        </w:rPr>
        <w:t xml:space="preserve"> на производството, пазарите или технологичното развитие във вреда на потребителите;</w:t>
      </w:r>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в)      </w:t>
      </w:r>
      <w:proofErr w:type="gramStart"/>
      <w:r w:rsidRPr="00014163">
        <w:rPr>
          <w:rFonts w:asciiTheme="majorHAnsi" w:eastAsia="Times New Roman" w:hAnsiTheme="majorHAnsi" w:cs="Times New Roman"/>
          <w:sz w:val="24"/>
          <w:szCs w:val="24"/>
        </w:rPr>
        <w:t>прилагане</w:t>
      </w:r>
      <w:proofErr w:type="gramEnd"/>
      <w:r w:rsidRPr="00014163">
        <w:rPr>
          <w:rFonts w:asciiTheme="majorHAnsi" w:eastAsia="Times New Roman" w:hAnsiTheme="majorHAnsi" w:cs="Times New Roman"/>
          <w:sz w:val="24"/>
          <w:szCs w:val="24"/>
        </w:rPr>
        <w:t xml:space="preserve"> на различни условия по отношение на еквивалентни сделки с други търговски партньори, като по този начин ги поставя в сравнително по-неблагоприятно положение;</w:t>
      </w:r>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г)      </w:t>
      </w:r>
      <w:proofErr w:type="gramStart"/>
      <w:r w:rsidRPr="00014163">
        <w:rPr>
          <w:rFonts w:asciiTheme="majorHAnsi" w:eastAsia="Times New Roman" w:hAnsiTheme="majorHAnsi" w:cs="Times New Roman"/>
          <w:sz w:val="24"/>
          <w:szCs w:val="24"/>
        </w:rPr>
        <w:t>поставяне</w:t>
      </w:r>
      <w:proofErr w:type="gramEnd"/>
      <w:r w:rsidRPr="00014163">
        <w:rPr>
          <w:rFonts w:asciiTheme="majorHAnsi" w:eastAsia="Times New Roman" w:hAnsiTheme="majorHAnsi" w:cs="Times New Roman"/>
          <w:sz w:val="24"/>
          <w:szCs w:val="24"/>
        </w:rPr>
        <w:t xml:space="preserve"> на сключването на договори в зависимост от приемането на допълнителни задължения от другите страни, които по своя характер или в съответствие с търговската практика нямат връзка с предмета на тези договори“.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7.        В член 86 ЕО е предвидено следното:</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      В случаите на публични предприятия и на предприятия, на които държавите-членки са предоставили специални или изключителни права, държавите-членки нямат право нито да приемат, нито да запазят съществуването на какъвто и да е акт, който противоречи на разпоредбите, съдържащи се в настоящия договор, и в частност на разпоредбите, предвидени в член 12 и членове 81—89.</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t xml:space="preserve">2.      Предприятията, които са натоварени с функцията да оказват услуги от общ икономически интерес или които имат характер на фискален монопол, се подчиняват на разпоредбите, съдържащи се в настоящия Договор, и в частност на правилата на конкуренцията, доколкото прилагането на тези правила не препятства фактически или юридически изпълнението на специфичните задачи, които са им възложени. </w:t>
      </w:r>
      <w:proofErr w:type="gramStart"/>
      <w:r w:rsidRPr="00014163">
        <w:rPr>
          <w:rFonts w:asciiTheme="majorHAnsi" w:eastAsia="Times New Roman" w:hAnsiTheme="majorHAnsi" w:cs="Times New Roman"/>
          <w:sz w:val="24"/>
          <w:szCs w:val="24"/>
        </w:rPr>
        <w:t>Развитието на търговията не трябва да се засяга до степен, която би била в противоречие с интересите на Общността.</w:t>
      </w:r>
      <w:proofErr w:type="gramEnd"/>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i/>
          <w:iCs/>
          <w:sz w:val="24"/>
          <w:szCs w:val="24"/>
        </w:rPr>
      </w:pPr>
      <w:r w:rsidRPr="00014163">
        <w:rPr>
          <w:rFonts w:asciiTheme="majorHAnsi" w:eastAsia="Times New Roman" w:hAnsiTheme="majorHAnsi" w:cs="Times New Roman"/>
          <w:i/>
          <w:iCs/>
          <w:sz w:val="24"/>
          <w:szCs w:val="24"/>
        </w:rPr>
        <w:t> Б – Национално право</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8.        Член 49 от гръцкия Закон № 2696/1999(</w:t>
      </w:r>
      <w:bookmarkStart w:id="4" w:name="Footref5"/>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"Footnote5"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5</w:t>
      </w:r>
      <w:r w:rsidR="008D746D" w:rsidRPr="00014163">
        <w:rPr>
          <w:rFonts w:asciiTheme="majorHAnsi" w:eastAsia="Times New Roman" w:hAnsiTheme="majorHAnsi" w:cs="Times New Roman"/>
          <w:sz w:val="24"/>
          <w:szCs w:val="24"/>
        </w:rPr>
        <w:fldChar w:fldCharType="end"/>
      </w:r>
      <w:bookmarkEnd w:id="4"/>
      <w:r w:rsidRPr="00014163">
        <w:rPr>
          <w:rFonts w:asciiTheme="majorHAnsi" w:eastAsia="Times New Roman" w:hAnsiTheme="majorHAnsi" w:cs="Times New Roman"/>
          <w:sz w:val="24"/>
          <w:szCs w:val="24"/>
        </w:rPr>
        <w:t>), наричан по-нататък „Закона за движението по пътищата“, в действащата му към 2000 г. редакция гласи:</w:t>
      </w:r>
    </w:p>
    <w:p w:rsidR="00D62491" w:rsidRPr="00014163" w:rsidRDefault="00D62491" w:rsidP="00D62491">
      <w:pPr>
        <w:shd w:val="clear" w:color="auto" w:fill="FFFFFF"/>
        <w:spacing w:before="100" w:beforeAutospacing="1" w:after="240" w:line="240" w:lineRule="auto"/>
        <w:ind w:left="1928" w:hanging="681"/>
        <w:jc w:val="both"/>
        <w:rPr>
          <w:rFonts w:asciiTheme="majorHAnsi" w:eastAsia="Times New Roman" w:hAnsiTheme="majorHAnsi" w:cs="Times New Roman"/>
          <w:sz w:val="24"/>
          <w:szCs w:val="24"/>
        </w:rPr>
      </w:pPr>
      <w:proofErr w:type="gramStart"/>
      <w:r w:rsidRPr="00014163">
        <w:rPr>
          <w:rFonts w:asciiTheme="majorHAnsi" w:eastAsia="Times New Roman" w:hAnsiTheme="majorHAnsi" w:cs="Times New Roman"/>
          <w:sz w:val="24"/>
          <w:szCs w:val="24"/>
        </w:rPr>
        <w:t>„1.   Състезания с превозни средства с животинска тяга, с животни, с велосипеди, автомобили, триколесни превозни средства, с мотоциклети и мотопеди по публични или частни пътища и пространства могат да се провеждат само след разрешение.</w:t>
      </w:r>
      <w:proofErr w:type="gramEnd"/>
    </w:p>
    <w:p w:rsidR="00D62491" w:rsidRPr="00014163" w:rsidRDefault="00D62491" w:rsidP="00D62491">
      <w:pPr>
        <w:shd w:val="clear" w:color="auto" w:fill="FFFFFF"/>
        <w:spacing w:before="100" w:beforeAutospacing="1" w:after="240" w:line="240" w:lineRule="auto"/>
        <w:ind w:left="1928" w:hanging="681"/>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2.     Разрешението по предходния параграф се издава:</w:t>
      </w:r>
    </w:p>
    <w:p w:rsidR="00D62491" w:rsidRPr="00014163" w:rsidRDefault="00D62491" w:rsidP="00D62491">
      <w:pPr>
        <w:shd w:val="clear" w:color="auto" w:fill="FFFFFF"/>
        <w:spacing w:before="100" w:beforeAutospacing="1" w:after="240" w:line="240" w:lineRule="auto"/>
        <w:ind w:left="1928" w:hanging="681"/>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в)      за всички състезания с автомобили, с триколесни превозни средства, с мотоциклети и мотопеди — от министъра на обществения ред или от оправомощените от него органи след положително становище на юридическото лице, което е официален представител в Гърция на Международната автомобилна федерация (ФИА), на Международната федерация по мотоциклетизъм (ФИМ), a за състезания с ретро автомобили — на Международната федерация на клубовете за старинни автомобили (FIVA) […</w:t>
      </w:r>
      <w:proofErr w:type="gramStart"/>
      <w:r w:rsidRPr="00014163">
        <w:rPr>
          <w:rFonts w:asciiTheme="majorHAnsi" w:eastAsia="Times New Roman" w:hAnsiTheme="majorHAnsi" w:cs="Times New Roman"/>
          <w:sz w:val="24"/>
          <w:szCs w:val="24"/>
        </w:rPr>
        <w:t>]“</w:t>
      </w:r>
      <w:proofErr w:type="gramEnd"/>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9.        Наред с това в член 134, алинея 8 от гръцкия Закон № 2725/1999(</w:t>
      </w:r>
      <w:bookmarkStart w:id="5" w:name="Footref6"/>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"Footnote6"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6</w:t>
      </w:r>
      <w:r w:rsidR="008D746D" w:rsidRPr="00014163">
        <w:rPr>
          <w:rFonts w:asciiTheme="majorHAnsi" w:eastAsia="Times New Roman" w:hAnsiTheme="majorHAnsi" w:cs="Times New Roman"/>
          <w:sz w:val="24"/>
          <w:szCs w:val="24"/>
        </w:rPr>
        <w:fldChar w:fldCharType="end"/>
      </w:r>
      <w:bookmarkEnd w:id="5"/>
      <w:r w:rsidRPr="00014163">
        <w:rPr>
          <w:rFonts w:asciiTheme="majorHAnsi" w:eastAsia="Times New Roman" w:hAnsiTheme="majorHAnsi" w:cs="Times New Roman"/>
          <w:sz w:val="24"/>
          <w:szCs w:val="24"/>
        </w:rPr>
        <w:t>) е предвидено между другото следното:</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proofErr w:type="gramStart"/>
      <w:r w:rsidRPr="00014163">
        <w:rPr>
          <w:rFonts w:asciiTheme="majorHAnsi" w:eastAsia="Times New Roman" w:hAnsiTheme="majorHAnsi" w:cs="Times New Roman"/>
          <w:sz w:val="24"/>
          <w:szCs w:val="24"/>
        </w:rPr>
        <w:t>„Състезанията с моторни превозни средства и съответните състезателни класове (автомобили, формула, карт, мотоциклет и т.н.) са спортни дейности, които се регламентират от този закон.</w:t>
      </w:r>
      <w:proofErr w:type="gramEnd"/>
      <w:r w:rsidRPr="00014163">
        <w:rPr>
          <w:rFonts w:asciiTheme="majorHAnsi" w:eastAsia="Times New Roman" w:hAnsiTheme="majorHAnsi" w:cs="Times New Roman"/>
          <w:sz w:val="24"/>
          <w:szCs w:val="24"/>
        </w:rPr>
        <w:t xml:space="preserve"> […]“</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i/>
          <w:iCs/>
          <w:sz w:val="24"/>
          <w:szCs w:val="24"/>
        </w:rPr>
      </w:pPr>
      <w:r w:rsidRPr="00014163">
        <w:rPr>
          <w:rFonts w:asciiTheme="majorHAnsi" w:eastAsia="Times New Roman" w:hAnsiTheme="majorHAnsi" w:cs="Times New Roman"/>
          <w:i/>
          <w:iCs/>
          <w:sz w:val="24"/>
          <w:szCs w:val="24"/>
        </w:rPr>
        <w:t> В – Вътрешни правила на организацията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10.      Издаваният от ETHEAM годишник за мотоциклетните състезания на ELPA (2000 г.) съдържа неговитe циркулярни писма за 2000 г. В него между другото се дава информация за документите, които организаторите трябва да представят, за да получат разрешение, за правилниците на състезанията, които трябва да бъдат предоставени, както и за таксите и други въпроси от финансово естество. Годишникът съдържа и Националния правилник за </w:t>
      </w:r>
      <w:r w:rsidRPr="00014163">
        <w:rPr>
          <w:rFonts w:asciiTheme="majorHAnsi" w:eastAsia="Times New Roman" w:hAnsiTheme="majorHAnsi" w:cs="Times New Roman"/>
          <w:sz w:val="24"/>
          <w:szCs w:val="24"/>
        </w:rPr>
        <w:lastRenderedPageBreak/>
        <w:t>мотоциклетните спортове, наричан по-нататък „EAKM“(</w:t>
      </w:r>
      <w:bookmarkStart w:id="6" w:name="Footref7"/>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"Footnote7"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7</w:t>
      </w:r>
      <w:r w:rsidR="008D746D" w:rsidRPr="00014163">
        <w:rPr>
          <w:rFonts w:asciiTheme="majorHAnsi" w:eastAsia="Times New Roman" w:hAnsiTheme="majorHAnsi" w:cs="Times New Roman"/>
          <w:sz w:val="24"/>
          <w:szCs w:val="24"/>
        </w:rPr>
        <w:fldChar w:fldCharType="end"/>
      </w:r>
      <w:bookmarkEnd w:id="6"/>
      <w:r w:rsidRPr="00014163">
        <w:rPr>
          <w:rFonts w:asciiTheme="majorHAnsi" w:eastAsia="Times New Roman" w:hAnsiTheme="majorHAnsi" w:cs="Times New Roman"/>
          <w:sz w:val="24"/>
          <w:szCs w:val="24"/>
        </w:rPr>
        <w:t>), който между другото съдържа следните разпоредби:</w:t>
      </w:r>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„10.7. Всяка спортна среща, която включва състезания в рамките на шампионата, за купите или за наградите на ELPA и ETHEAM, може да бъде съпътствана от търговска реклама на спонсор, посочен в наименованието или допълнителното наименование на състезанията, но само след положително становище на ELPA и ETHEAM.</w:t>
      </w:r>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60.6. По време на спортни срещи е позволено да се поставят реклами върху екипите на състезателите и върху мотоциклетите. </w:t>
      </w:r>
      <w:proofErr w:type="gramStart"/>
      <w:r w:rsidRPr="00014163">
        <w:rPr>
          <w:rFonts w:asciiTheme="majorHAnsi" w:eastAsia="Times New Roman" w:hAnsiTheme="majorHAnsi" w:cs="Times New Roman"/>
          <w:sz w:val="24"/>
          <w:szCs w:val="24"/>
        </w:rPr>
        <w:t>Позволено е да се поставят реклами и върху цялата повърхност на каските, при условие че това не уврежда техническите характеристики на последните.</w:t>
      </w:r>
      <w:proofErr w:type="gramEnd"/>
      <w:r w:rsidRPr="00014163">
        <w:rPr>
          <w:rFonts w:asciiTheme="majorHAnsi" w:eastAsia="Times New Roman" w:hAnsiTheme="majorHAnsi" w:cs="Times New Roman"/>
          <w:sz w:val="24"/>
          <w:szCs w:val="24"/>
        </w:rPr>
        <w:t xml:space="preserve"> При състезанията на писта и по мотокрос в рамките на шампионатите, за купите или за наградите на ELPA и на ETHEAM организаторите не могат без разрешение от участника да налагат рекламирането на какъвто и да било продукт върху пилот, друг състезател или мотоциклет. </w:t>
      </w:r>
      <w:proofErr w:type="gramStart"/>
      <w:r w:rsidRPr="00014163">
        <w:rPr>
          <w:rFonts w:asciiTheme="majorHAnsi" w:eastAsia="Times New Roman" w:hAnsiTheme="majorHAnsi" w:cs="Times New Roman"/>
          <w:sz w:val="24"/>
          <w:szCs w:val="24"/>
        </w:rPr>
        <w:t>Все пак когато се прилага сключен от ELPA и ETHEAM договор за спонсорство, условията на този договор са задължителни за пилотите, другите състезатели и мотоциклетите.</w:t>
      </w:r>
      <w:proofErr w:type="gramEnd"/>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110.1. Организаторът трябва пряко или чрез надзорния орган да вземе мерки спортната среща да бъде застрахована, като застраховките трябва да покриват неговата отговорност, отговорността на конструкторите, пилотите, другите състезатели […] за произшествия или вреди, причинени на трети лица в хода на срещата и на тренировките.“</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b/>
          <w:bCs/>
          <w:sz w:val="24"/>
          <w:szCs w:val="24"/>
        </w:rPr>
      </w:pPr>
      <w:r w:rsidRPr="00014163">
        <w:rPr>
          <w:rFonts w:asciiTheme="majorHAnsi" w:eastAsia="Times New Roman" w:hAnsiTheme="majorHAnsi" w:cs="Times New Roman"/>
          <w:b/>
          <w:bCs/>
          <w:sz w:val="24"/>
          <w:szCs w:val="24"/>
        </w:rPr>
        <w:t>III – Фактически обстоятелства и главно производство</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11.      Гръцкият клуб по автомобилизъм и туризъм ELPA е официалният представител на ФИМ в Гърция. По данни на препращащата юрисдикция ELPA е сдружение с нестопанска цел, което организира и състезания по моторни спортове и в тази връзка сключва договори за спонсорство, реклама и застраховка.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12.      На учредения от него Национален комитет по мотоциклетни състезания (ETHEAM) ELPA възлага контрола върху организирането на състезания в страната и упражняването на свързаните му със спорта правомощия в областта на спортния мотоциклетизъм в цяла Гърция.</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13.      MOTOE е независима от ELPA федерация по мотоциклетизъм и сдружение с нестопанска цел, чиято дейност също обхваща организирането на мотоциклетни състезания в Гърция. Към неговите членове се числят множество регионални клубове по мотоциклетизъм.</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t xml:space="preserve">14.      На 13 февруари 2000 г. MOTOE подава пред гръцкото министерство на обществения ред заявление за разрешение за провеждане на поредица мотоциклетни състезания. </w:t>
      </w:r>
      <w:proofErr w:type="gramStart"/>
      <w:r w:rsidRPr="00014163">
        <w:rPr>
          <w:rFonts w:asciiTheme="majorHAnsi" w:eastAsia="Times New Roman" w:hAnsiTheme="majorHAnsi" w:cs="Times New Roman"/>
          <w:sz w:val="24"/>
          <w:szCs w:val="24"/>
        </w:rPr>
        <w:t>Към заявлението е приложена програма на планираните състезания.</w:t>
      </w:r>
      <w:proofErr w:type="gramEnd"/>
      <w:r w:rsidRPr="00014163">
        <w:rPr>
          <w:rFonts w:asciiTheme="majorHAnsi" w:eastAsia="Times New Roman" w:hAnsiTheme="majorHAnsi" w:cs="Times New Roman"/>
          <w:sz w:val="24"/>
          <w:szCs w:val="24"/>
        </w:rPr>
        <w:t xml:space="preserve"> Според нея в периода между 26 март 2000 г. и 3 декември 2000 г. е предвидено организирането на общо 28 състезания от различни клубове по мотоциклетизъм, всички от които са членове на MOTOE. </w:t>
      </w:r>
      <w:proofErr w:type="gramStart"/>
      <w:r w:rsidRPr="00014163">
        <w:rPr>
          <w:rFonts w:asciiTheme="majorHAnsi" w:eastAsia="Times New Roman" w:hAnsiTheme="majorHAnsi" w:cs="Times New Roman"/>
          <w:sz w:val="24"/>
          <w:szCs w:val="24"/>
        </w:rPr>
        <w:t>На 8 февруари 2000 г. програмата е изпратена на ELPA, за да може той да даде становище относно разрешаването на състезанията.</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15.      С писмо от 16 март 2000 г. ELPA иска от MOTOE да му изпрати конкретния правилник за всяко от планираните състезания най-малко два месеца преди датата на състезанието, за да провери списъка на участниците, маршрута или пистата, на която ще се проведе състезанието, предвидените мерки за безопасност, както и по-общо, за да се увери, че състезанието ще се проведе при безопасни условия. </w:t>
      </w:r>
      <w:proofErr w:type="gramStart"/>
      <w:r w:rsidRPr="00014163">
        <w:rPr>
          <w:rFonts w:asciiTheme="majorHAnsi" w:eastAsia="Times New Roman" w:hAnsiTheme="majorHAnsi" w:cs="Times New Roman"/>
          <w:sz w:val="24"/>
          <w:szCs w:val="24"/>
        </w:rPr>
        <w:t>Освен това ELPA иска от клубовете, организиращи състезанията, да представят копие от устава си на ETHEAM.</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16.      След това с писмо от 5 май 2000 г. до министерството на обществения ред MOTOE иска разрешение за организирането на шест състезания в периода от 9 юли 2000 г. до 26 ноември 2000 г. и прилага към заявлението си конкретните правилници за провеждането на тези състезания, както и копия от уставите на клубовете. С писмо от 20 май 2000 г. министерството на обществения ред отново изпраща това заявление до ELPA, за да може той да даде становище по провеждането на посочените състезания.</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17.      На 6 юли 2000 г. ELPA и ETHEAM изпращат до MOTOE документ със следното съдържание:</w:t>
      </w:r>
    </w:p>
    <w:p w:rsidR="00D62491" w:rsidRPr="00014163" w:rsidRDefault="00D62491" w:rsidP="00D62491">
      <w:pPr>
        <w:shd w:val="clear" w:color="auto" w:fill="FFFFFF"/>
        <w:spacing w:after="240" w:line="240" w:lineRule="auto"/>
        <w:ind w:left="1247"/>
        <w:jc w:val="both"/>
        <w:rPr>
          <w:rFonts w:asciiTheme="majorHAnsi" w:eastAsia="Times New Roman" w:hAnsiTheme="majorHAnsi" w:cs="Times New Roman"/>
          <w:sz w:val="24"/>
          <w:szCs w:val="24"/>
        </w:rPr>
      </w:pPr>
      <w:proofErr w:type="gramStart"/>
      <w:r w:rsidRPr="00014163">
        <w:rPr>
          <w:rFonts w:asciiTheme="majorHAnsi" w:eastAsia="Times New Roman" w:hAnsiTheme="majorHAnsi" w:cs="Times New Roman"/>
          <w:sz w:val="24"/>
          <w:szCs w:val="24"/>
        </w:rPr>
        <w:t>„1. На основание на действащото право ETHEAM обявява шампионатите, купите и наградите в рамките на мотоциклетните състезания съгласно правата, които са му предоставени от ELPA, който е единственият законен представител на ФИМ в Гърция.</w:t>
      </w:r>
      <w:proofErr w:type="gramEnd"/>
    </w:p>
    <w:p w:rsidR="00D62491" w:rsidRPr="00014163" w:rsidRDefault="00D62491" w:rsidP="00D62491">
      <w:pPr>
        <w:shd w:val="clear" w:color="auto" w:fill="FFFFFF"/>
        <w:spacing w:after="240" w:line="240" w:lineRule="auto"/>
        <w:ind w:left="124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2. Ако даден организатор или клуб, които отговарят на изискванията за организиране и провеждане на състезания, поиска да обяви купа или специална награда, трябва да представи въпросното обявление на ETHEAM. </w:t>
      </w:r>
      <w:proofErr w:type="gramStart"/>
      <w:r w:rsidRPr="00014163">
        <w:rPr>
          <w:rFonts w:asciiTheme="majorHAnsi" w:eastAsia="Times New Roman" w:hAnsiTheme="majorHAnsi" w:cs="Times New Roman"/>
          <w:sz w:val="24"/>
          <w:szCs w:val="24"/>
        </w:rPr>
        <w:t>След като проучи предложените условия, ETHEAM взема решение, с което определя условията за провеждане на състезанието съгласно националните и международните правилници.</w:t>
      </w:r>
      <w:proofErr w:type="gramEnd"/>
    </w:p>
    <w:p w:rsidR="00D62491" w:rsidRPr="00014163" w:rsidRDefault="00D62491" w:rsidP="00D62491">
      <w:pPr>
        <w:shd w:val="clear" w:color="auto" w:fill="FFFFFF"/>
        <w:spacing w:after="240" w:line="240" w:lineRule="auto"/>
        <w:ind w:left="124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3. Състезанията за купа или награда може да включват само състезания от един и същ вид, например само „scramble“ или само „enduro“. </w:t>
      </w:r>
      <w:proofErr w:type="gramStart"/>
      <w:r w:rsidRPr="00014163">
        <w:rPr>
          <w:rFonts w:asciiTheme="majorHAnsi" w:eastAsia="Times New Roman" w:hAnsiTheme="majorHAnsi" w:cs="Times New Roman"/>
          <w:sz w:val="24"/>
          <w:szCs w:val="24"/>
        </w:rPr>
        <w:t>Други самостоятелни прояви, които не се провеждат в рамките на шампионатите, купите и наградите, могат да бъдат означени само като приятелски срещи.</w:t>
      </w:r>
      <w:proofErr w:type="gramEnd"/>
    </w:p>
    <w:p w:rsidR="00D62491" w:rsidRPr="00014163" w:rsidRDefault="00D62491" w:rsidP="00D62491">
      <w:pPr>
        <w:shd w:val="clear" w:color="auto" w:fill="FFFFFF"/>
        <w:spacing w:after="240" w:line="240" w:lineRule="auto"/>
        <w:ind w:left="124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4. За да се приеме положително становище за организирането на състезание, включително за купа или награда, всеки организатор, който отговаря за някое от тези състезания за купа или награда, трябва да </w:t>
      </w:r>
      <w:r w:rsidRPr="00014163">
        <w:rPr>
          <w:rFonts w:asciiTheme="majorHAnsi" w:eastAsia="Times New Roman" w:hAnsiTheme="majorHAnsi" w:cs="Times New Roman"/>
          <w:sz w:val="24"/>
          <w:szCs w:val="24"/>
        </w:rPr>
        <w:lastRenderedPageBreak/>
        <w:t xml:space="preserve">изпълни условията, предвидени в Националния правилник за мотоциклетните спортове и в циркулярните писма на ETHEAM. </w:t>
      </w:r>
      <w:proofErr w:type="gramStart"/>
      <w:r w:rsidRPr="00014163">
        <w:rPr>
          <w:rFonts w:asciiTheme="majorHAnsi" w:eastAsia="Times New Roman" w:hAnsiTheme="majorHAnsi" w:cs="Times New Roman"/>
          <w:sz w:val="24"/>
          <w:szCs w:val="24"/>
        </w:rPr>
        <w:t>По разбираеми причини, ако в течение на годината даден организатор поиска да се обявят допълнителни състезания, датите на същите не трябва да се отразяват на вече планираните състезания в интерес както на състезателите, така и на организаторите.</w:t>
      </w:r>
      <w:proofErr w:type="gramEnd"/>
      <w:r w:rsidRPr="00014163">
        <w:rPr>
          <w:rFonts w:asciiTheme="majorHAnsi" w:eastAsia="Times New Roman" w:hAnsiTheme="majorHAnsi" w:cs="Times New Roman"/>
          <w:sz w:val="24"/>
          <w:szCs w:val="24"/>
        </w:rPr>
        <w:t xml:space="preserve"> Предвид горното ETHEAM се намира на Ваше разположение, за да се обсъди възможността за обявяване на допълнителна купа или награда съгласно националния правилник за мотоциклетните състезания, и очаква Вашата програма за състезанията през 2001 г. за включване в годишната програма. Вашата програма трябва да бъде представена на ELPA и ETHEAM най-късно на 15 септември 2000 г</w:t>
      </w:r>
      <w:proofErr w:type="gramStart"/>
      <w:r w:rsidRPr="00014163">
        <w:rPr>
          <w:rFonts w:asciiTheme="majorHAnsi" w:eastAsia="Times New Roman" w:hAnsiTheme="majorHAnsi" w:cs="Times New Roman"/>
          <w:sz w:val="24"/>
          <w:szCs w:val="24"/>
        </w:rPr>
        <w:t>.“</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18.      На 26 юли 2000 г. MOTOE иска от министерството на обществения ред информация за движението на заявлението за разрешение. </w:t>
      </w:r>
      <w:proofErr w:type="gramStart"/>
      <w:r w:rsidRPr="00014163">
        <w:rPr>
          <w:rFonts w:asciiTheme="majorHAnsi" w:eastAsia="Times New Roman" w:hAnsiTheme="majorHAnsi" w:cs="Times New Roman"/>
          <w:sz w:val="24"/>
          <w:szCs w:val="24"/>
        </w:rPr>
        <w:t>На 7 август 2000 г. министерството на обществения ред отговаря, че до онзи момент не е получено необходимото положително становище от ELPA или ETHEAM.</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19.      В резултат на това MOTOE предявява пред Dioikitiko Protodikeio Athinon(</w:t>
      </w:r>
      <w:bookmarkStart w:id="7" w:name="Footref8"/>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"Footnote8"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8</w:t>
      </w:r>
      <w:r w:rsidR="008D746D" w:rsidRPr="00014163">
        <w:rPr>
          <w:rFonts w:asciiTheme="majorHAnsi" w:eastAsia="Times New Roman" w:hAnsiTheme="majorHAnsi" w:cs="Times New Roman"/>
          <w:sz w:val="24"/>
          <w:szCs w:val="24"/>
        </w:rPr>
        <w:fldChar w:fldCharType="end"/>
      </w:r>
      <w:bookmarkEnd w:id="7"/>
      <w:r w:rsidRPr="00014163">
        <w:rPr>
          <w:rFonts w:asciiTheme="majorHAnsi" w:eastAsia="Times New Roman" w:hAnsiTheme="majorHAnsi" w:cs="Times New Roman"/>
          <w:sz w:val="24"/>
          <w:szCs w:val="24"/>
        </w:rPr>
        <w:t>) иск за обезщетение за причинени вреди в размер на 5 милиона гръцки драхми(</w:t>
      </w:r>
      <w:bookmarkStart w:id="8" w:name="Footref9"/>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"Footnote9"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9</w:t>
      </w:r>
      <w:r w:rsidR="008D746D" w:rsidRPr="00014163">
        <w:rPr>
          <w:rFonts w:asciiTheme="majorHAnsi" w:eastAsia="Times New Roman" w:hAnsiTheme="majorHAnsi" w:cs="Times New Roman"/>
          <w:sz w:val="24"/>
          <w:szCs w:val="24"/>
        </w:rPr>
        <w:fldChar w:fldCharType="end"/>
      </w:r>
      <w:bookmarkEnd w:id="8"/>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MOTOE твърди, че вследствие на мълчаливия и според нея незаконосъобразен отказ за предоставяне на разрешение за провеждане на мотоциклетни състезания е претърпяла неимуществена вреда, тъй като са били накърнени авторитетът ѝ и доверието към нея на нейните членове, на гръцките мотоциклетисти и на цялата общественост.</w:t>
      </w:r>
      <w:proofErr w:type="gramEnd"/>
      <w:r w:rsidRPr="00014163">
        <w:rPr>
          <w:rFonts w:asciiTheme="majorHAnsi" w:eastAsia="Times New Roman" w:hAnsiTheme="majorHAnsi" w:cs="Times New Roman"/>
          <w:sz w:val="24"/>
          <w:szCs w:val="24"/>
        </w:rPr>
        <w:t xml:space="preserve"> MOTOE изтъква, че член 49 от гръцкия Закон за движението по пътищата противоречи на конституционния принцип за безпристрастност на административните органи, както и на членове 82 ЕО и 86 ЕО. </w:t>
      </w:r>
      <w:proofErr w:type="gramStart"/>
      <w:r w:rsidRPr="00014163">
        <w:rPr>
          <w:rFonts w:asciiTheme="majorHAnsi" w:eastAsia="Times New Roman" w:hAnsiTheme="majorHAnsi" w:cs="Times New Roman"/>
          <w:sz w:val="24"/>
          <w:szCs w:val="24"/>
        </w:rPr>
        <w:t>ELPA встъпва в делото в подкрепа на исканията на гръцката държава.</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20.      Първоинстанционният съд отхвърля иска на MOTOE със съображението, че разрешението не е можело да се предостави без положително становище по смисъла на член 49 от Закона за движението по пътищата. </w:t>
      </w:r>
      <w:proofErr w:type="gramStart"/>
      <w:r w:rsidRPr="00014163">
        <w:rPr>
          <w:rFonts w:asciiTheme="majorHAnsi" w:eastAsia="Times New Roman" w:hAnsiTheme="majorHAnsi" w:cs="Times New Roman"/>
          <w:sz w:val="24"/>
          <w:szCs w:val="24"/>
        </w:rPr>
        <w:t>Освен това разпоредбата на член 49 от Закона за движението по пътищата не противоречала нито на конституцията, нито на общностното право.</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21.      MOTOE обжалва първоинстанционното решение пред Dioikitiko Efeteio </w:t>
      </w:r>
      <w:proofErr w:type="gramStart"/>
      <w:r w:rsidRPr="00014163">
        <w:rPr>
          <w:rFonts w:asciiTheme="majorHAnsi" w:eastAsia="Times New Roman" w:hAnsiTheme="majorHAnsi" w:cs="Times New Roman"/>
          <w:sz w:val="24"/>
          <w:szCs w:val="24"/>
        </w:rPr>
        <w:t>Athinon(</w:t>
      </w:r>
      <w:bookmarkStart w:id="9" w:name="Footref10"/>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"Footnote10"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10</w:t>
      </w:r>
      <w:r w:rsidR="008D746D" w:rsidRPr="00014163">
        <w:rPr>
          <w:rFonts w:asciiTheme="majorHAnsi" w:eastAsia="Times New Roman" w:hAnsiTheme="majorHAnsi" w:cs="Times New Roman"/>
          <w:sz w:val="24"/>
          <w:szCs w:val="24"/>
        </w:rPr>
        <w:fldChar w:fldCharType="end"/>
      </w:r>
      <w:bookmarkEnd w:id="9"/>
      <w:r w:rsidRPr="00014163">
        <w:rPr>
          <w:rFonts w:asciiTheme="majorHAnsi" w:eastAsia="Times New Roman" w:hAnsiTheme="majorHAnsi" w:cs="Times New Roman"/>
          <w:sz w:val="24"/>
          <w:szCs w:val="24"/>
        </w:rPr>
        <w:t>), който се явява препращаща юрисдикция.</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b/>
          <w:bCs/>
          <w:sz w:val="24"/>
          <w:szCs w:val="24"/>
        </w:rPr>
      </w:pPr>
      <w:r w:rsidRPr="00014163">
        <w:rPr>
          <w:rFonts w:asciiTheme="majorHAnsi" w:eastAsia="Times New Roman" w:hAnsiTheme="majorHAnsi" w:cs="Times New Roman"/>
          <w:b/>
          <w:bCs/>
          <w:sz w:val="24"/>
          <w:szCs w:val="24"/>
        </w:rPr>
        <w:t>IV – Преюдициално запитване</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22.      С решение от 21 ноември 2006 г., постъпило в Съда на 5 февруари 2007 г., Dioikitiko Efeteio Athinon спира производството и поставя на Съда следните два преюдициални въпроса:</w:t>
      </w:r>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„1)      Трябва ли членове 82 ЕО и 86 ЕО да се тълкуват в смисъл, че включват в приложното си поле и дейностите, извършвани от юридическо лице, което има качеството на национален представител на Международната </w:t>
      </w:r>
      <w:r w:rsidRPr="00014163">
        <w:rPr>
          <w:rFonts w:asciiTheme="majorHAnsi" w:eastAsia="Times New Roman" w:hAnsiTheme="majorHAnsi" w:cs="Times New Roman"/>
          <w:sz w:val="24"/>
          <w:szCs w:val="24"/>
        </w:rPr>
        <w:lastRenderedPageBreak/>
        <w:t>федерация по мотоциклетизъм и което осъществява икономически дейности като описаните по-горе чрез сключване на договори за спонсорство, реклама и застраховка във връзка с организираните от него прояви в областта на моторните спортове?</w:t>
      </w:r>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2)      При утвърдителен отговор [на първия въпрос], съвместим ли е член 49 от Закон № 2696/1999 с посочените разпоредби на Договора за ЕО, доколкото този закон предоставя на упоменатото юридическо лице правомощието да дава становище по организирането на състезания с моторни превозни средства, въз основа на което компетентният национален орган (в случая министърът на обществения ред) може да издаде разрешение за организиране на състезанието, без за това правомощие да са предвидени ограничения, задължения и контрол?“</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23.      В производството пред Съда устни и писмени становища представят гръцкото правителство и Комисията на Европейските общности. </w:t>
      </w:r>
      <w:proofErr w:type="gramStart"/>
      <w:r w:rsidRPr="00014163">
        <w:rPr>
          <w:rFonts w:asciiTheme="majorHAnsi" w:eastAsia="Times New Roman" w:hAnsiTheme="majorHAnsi" w:cs="Times New Roman"/>
          <w:sz w:val="24"/>
          <w:szCs w:val="24"/>
        </w:rPr>
        <w:t>MOTOE изразява само устно становище.</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b/>
          <w:bCs/>
          <w:sz w:val="24"/>
          <w:szCs w:val="24"/>
        </w:rPr>
      </w:pPr>
      <w:r w:rsidRPr="00014163">
        <w:rPr>
          <w:rFonts w:asciiTheme="majorHAnsi" w:eastAsia="Times New Roman" w:hAnsiTheme="majorHAnsi" w:cs="Times New Roman"/>
          <w:b/>
          <w:bCs/>
          <w:sz w:val="24"/>
          <w:szCs w:val="24"/>
        </w:rPr>
        <w:t>V –    Съображения</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i/>
          <w:iCs/>
          <w:sz w:val="24"/>
          <w:szCs w:val="24"/>
        </w:rPr>
      </w:pPr>
      <w:r w:rsidRPr="00014163">
        <w:rPr>
          <w:rFonts w:asciiTheme="majorHAnsi" w:eastAsia="Times New Roman" w:hAnsiTheme="majorHAnsi" w:cs="Times New Roman"/>
          <w:i/>
          <w:iCs/>
          <w:sz w:val="24"/>
          <w:szCs w:val="24"/>
        </w:rPr>
        <w:t> А – Предварителни бележки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24.      Спортът не e изцяло изключен от приложното поле на Договора за ЕО. </w:t>
      </w:r>
      <w:proofErr w:type="gramStart"/>
      <w:r w:rsidRPr="00014163">
        <w:rPr>
          <w:rFonts w:asciiTheme="majorHAnsi" w:eastAsia="Times New Roman" w:hAnsiTheme="majorHAnsi" w:cs="Times New Roman"/>
          <w:sz w:val="24"/>
          <w:szCs w:val="24"/>
        </w:rPr>
        <w:t>Това е признато както на политическо равнище, така и в правораздавателната практика на общностните съдилища.</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25.      На </w:t>
      </w:r>
      <w:r w:rsidRPr="00014163">
        <w:rPr>
          <w:rFonts w:asciiTheme="majorHAnsi" w:eastAsia="Times New Roman" w:hAnsiTheme="majorHAnsi" w:cs="Times New Roman"/>
          <w:i/>
          <w:iCs/>
          <w:sz w:val="24"/>
          <w:szCs w:val="24"/>
        </w:rPr>
        <w:t>политическо равнище</w:t>
      </w:r>
      <w:r w:rsidRPr="00014163">
        <w:rPr>
          <w:rFonts w:asciiTheme="majorHAnsi" w:eastAsia="Times New Roman" w:hAnsiTheme="majorHAnsi" w:cs="Times New Roman"/>
          <w:sz w:val="24"/>
          <w:szCs w:val="24"/>
        </w:rPr>
        <w:t> например междуправителствената конференция за Договора от Амстердам (1997 г.) в „Декларация относно спорта“(</w:t>
      </w:r>
      <w:bookmarkStart w:id="10" w:name="Footref11"/>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"Footnote11"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11</w:t>
      </w:r>
      <w:r w:rsidR="008D746D" w:rsidRPr="00014163">
        <w:rPr>
          <w:rFonts w:asciiTheme="majorHAnsi" w:eastAsia="Times New Roman" w:hAnsiTheme="majorHAnsi" w:cs="Times New Roman"/>
          <w:sz w:val="24"/>
          <w:szCs w:val="24"/>
        </w:rPr>
        <w:fldChar w:fldCharType="end"/>
      </w:r>
      <w:bookmarkEnd w:id="10"/>
      <w:r w:rsidRPr="00014163">
        <w:rPr>
          <w:rFonts w:asciiTheme="majorHAnsi" w:eastAsia="Times New Roman" w:hAnsiTheme="majorHAnsi" w:cs="Times New Roman"/>
          <w:sz w:val="24"/>
          <w:szCs w:val="24"/>
        </w:rPr>
        <w:t xml:space="preserve">) приканва органите на Европейския съюз да провеждат консултации със спортните асоциации, когато се разглеждат важни въпроси, отнасящи се до спорта. </w:t>
      </w:r>
      <w:proofErr w:type="gramStart"/>
      <w:r w:rsidRPr="00014163">
        <w:rPr>
          <w:rFonts w:asciiTheme="majorHAnsi" w:eastAsia="Times New Roman" w:hAnsiTheme="majorHAnsi" w:cs="Times New Roman"/>
          <w:sz w:val="24"/>
          <w:szCs w:val="24"/>
        </w:rPr>
        <w:t>В тази връзка следва да се отдава специално внимание на специфичните особености на аматьорския спорт.</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Подобна декларация е приложена към заключенията на председателството на Европейския съвет в Ница (2000 г.)</w:t>
      </w:r>
      <w:proofErr w:type="gramEnd"/>
      <w:r w:rsidRPr="00014163">
        <w:rPr>
          <w:rFonts w:asciiTheme="majorHAnsi" w:eastAsia="Times New Roman" w:hAnsiTheme="majorHAnsi" w:cs="Times New Roman"/>
          <w:sz w:val="24"/>
          <w:szCs w:val="24"/>
        </w:rPr>
        <w:t>(</w:t>
      </w:r>
      <w:bookmarkStart w:id="11" w:name="Footref12"/>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"Footnote12"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12</w:t>
      </w:r>
      <w:r w:rsidR="008D746D" w:rsidRPr="00014163">
        <w:rPr>
          <w:rFonts w:asciiTheme="majorHAnsi" w:eastAsia="Times New Roman" w:hAnsiTheme="majorHAnsi" w:cs="Times New Roman"/>
          <w:sz w:val="24"/>
          <w:szCs w:val="24"/>
        </w:rPr>
        <w:fldChar w:fldCharType="end"/>
      </w:r>
      <w:bookmarkEnd w:id="11"/>
      <w:r w:rsidRPr="00014163">
        <w:rPr>
          <w:rFonts w:asciiTheme="majorHAnsi" w:eastAsia="Times New Roman" w:hAnsiTheme="majorHAnsi" w:cs="Times New Roman"/>
          <w:sz w:val="24"/>
          <w:szCs w:val="24"/>
        </w:rPr>
        <w:t>). Освен това миналата година Комисията представи „Бяла книга за спорта“, в която наред с другото разглежда последиците на европейското право за спорта и потвърждава, че достиженията на правото на ЕС (</w:t>
      </w:r>
      <w:r w:rsidRPr="00014163">
        <w:rPr>
          <w:rFonts w:asciiTheme="majorHAnsi" w:eastAsia="Times New Roman" w:hAnsiTheme="majorHAnsi" w:cs="Times New Roman"/>
          <w:i/>
          <w:iCs/>
          <w:sz w:val="24"/>
          <w:szCs w:val="24"/>
        </w:rPr>
        <w:t>acquis communautaire</w:t>
      </w:r>
      <w:r w:rsidRPr="00014163">
        <w:rPr>
          <w:rFonts w:asciiTheme="majorHAnsi" w:eastAsia="Times New Roman" w:hAnsiTheme="majorHAnsi" w:cs="Times New Roman"/>
          <w:sz w:val="24"/>
          <w:szCs w:val="24"/>
        </w:rPr>
        <w:t>) се прилагат към спорта(</w:t>
      </w:r>
      <w:bookmarkStart w:id="12" w:name="Footref13"/>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"Footnote13"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13</w:t>
      </w:r>
      <w:r w:rsidR="008D746D" w:rsidRPr="00014163">
        <w:rPr>
          <w:rFonts w:asciiTheme="majorHAnsi" w:eastAsia="Times New Roman" w:hAnsiTheme="majorHAnsi" w:cs="Times New Roman"/>
          <w:sz w:val="24"/>
          <w:szCs w:val="24"/>
        </w:rPr>
        <w:fldChar w:fldCharType="end"/>
      </w:r>
      <w:bookmarkEnd w:id="12"/>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26.      Декларации и инициативи от този род подчертават, че спортът не е цялостно изключен от полето на дейност на Европейския съюз, съответно на Европейската общност. Впрочем с влизането в сила на Договора от Лисабон(</w:t>
      </w:r>
      <w:bookmarkStart w:id="13" w:name="Footref14"/>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"Footnote14"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14</w:t>
      </w:r>
      <w:r w:rsidR="008D746D" w:rsidRPr="00014163">
        <w:rPr>
          <w:rFonts w:asciiTheme="majorHAnsi" w:eastAsia="Times New Roman" w:hAnsiTheme="majorHAnsi" w:cs="Times New Roman"/>
          <w:sz w:val="24"/>
          <w:szCs w:val="24"/>
        </w:rPr>
        <w:fldChar w:fldCharType="end"/>
      </w:r>
      <w:bookmarkEnd w:id="13"/>
      <w:r w:rsidRPr="00014163">
        <w:rPr>
          <w:rFonts w:asciiTheme="majorHAnsi" w:eastAsia="Times New Roman" w:hAnsiTheme="majorHAnsi" w:cs="Times New Roman"/>
          <w:sz w:val="24"/>
          <w:szCs w:val="24"/>
        </w:rPr>
        <w:t>) спортът дори специално ще намери място в първичното право на ЕС(</w:t>
      </w:r>
      <w:bookmarkStart w:id="14" w:name="Footref15"/>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"Footnote15"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15</w:t>
      </w:r>
      <w:r w:rsidR="008D746D" w:rsidRPr="00014163">
        <w:rPr>
          <w:rFonts w:asciiTheme="majorHAnsi" w:eastAsia="Times New Roman" w:hAnsiTheme="majorHAnsi" w:cs="Times New Roman"/>
          <w:sz w:val="24"/>
          <w:szCs w:val="24"/>
        </w:rPr>
        <w:fldChar w:fldCharType="end"/>
      </w:r>
      <w:bookmarkEnd w:id="14"/>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27.      От своя страна в постоянната си съдебна практика(</w:t>
      </w:r>
      <w:bookmarkStart w:id="15" w:name="Footref16"/>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"Footnote16"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16</w:t>
      </w:r>
      <w:r w:rsidR="008D746D" w:rsidRPr="00014163">
        <w:rPr>
          <w:rFonts w:asciiTheme="majorHAnsi" w:eastAsia="Times New Roman" w:hAnsiTheme="majorHAnsi" w:cs="Times New Roman"/>
          <w:sz w:val="24"/>
          <w:szCs w:val="24"/>
        </w:rPr>
        <w:fldChar w:fldCharType="end"/>
      </w:r>
      <w:bookmarkEnd w:id="15"/>
      <w:r w:rsidRPr="00014163">
        <w:rPr>
          <w:rFonts w:asciiTheme="majorHAnsi" w:eastAsia="Times New Roman" w:hAnsiTheme="majorHAnsi" w:cs="Times New Roman"/>
          <w:sz w:val="24"/>
          <w:szCs w:val="24"/>
        </w:rPr>
        <w:t>)</w:t>
      </w:r>
      <w:r w:rsidRPr="00014163">
        <w:rPr>
          <w:rFonts w:asciiTheme="majorHAnsi" w:eastAsia="Times New Roman" w:hAnsiTheme="majorHAnsi" w:cs="Times New Roman"/>
          <w:i/>
          <w:iCs/>
          <w:sz w:val="24"/>
          <w:szCs w:val="24"/>
        </w:rPr>
        <w:t>юрисдикциите на Общността</w:t>
      </w:r>
      <w:r w:rsidRPr="00014163">
        <w:rPr>
          <w:rFonts w:asciiTheme="majorHAnsi" w:eastAsia="Times New Roman" w:hAnsiTheme="majorHAnsi" w:cs="Times New Roman"/>
          <w:sz w:val="24"/>
          <w:szCs w:val="24"/>
        </w:rPr>
        <w:t> приемат, че спортът при всички случаи попада в приложното поле на общностното право, доколкото представлява икономическа дейност по смисъла на член 2 ЕО(</w:t>
      </w:r>
      <w:bookmarkStart w:id="16" w:name="Footref17"/>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"Footnote17"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17</w:t>
      </w:r>
      <w:r w:rsidR="008D746D" w:rsidRPr="00014163">
        <w:rPr>
          <w:rFonts w:asciiTheme="majorHAnsi" w:eastAsia="Times New Roman" w:hAnsiTheme="majorHAnsi" w:cs="Times New Roman"/>
          <w:sz w:val="24"/>
          <w:szCs w:val="24"/>
        </w:rPr>
        <w:fldChar w:fldCharType="end"/>
      </w:r>
      <w:bookmarkEnd w:id="16"/>
      <w:r w:rsidRPr="00014163">
        <w:rPr>
          <w:rFonts w:asciiTheme="majorHAnsi" w:eastAsia="Times New Roman" w:hAnsiTheme="majorHAnsi" w:cs="Times New Roman"/>
          <w:sz w:val="24"/>
          <w:szCs w:val="24"/>
        </w:rPr>
        <w:t>). Ако в началото на преден план са били по-скоро последиците на основните свободи за спорта(</w:t>
      </w:r>
      <w:bookmarkStart w:id="17" w:name="Footref18"/>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"Footnote18"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18</w:t>
      </w:r>
      <w:r w:rsidR="008D746D" w:rsidRPr="00014163">
        <w:rPr>
          <w:rFonts w:asciiTheme="majorHAnsi" w:eastAsia="Times New Roman" w:hAnsiTheme="majorHAnsi" w:cs="Times New Roman"/>
          <w:sz w:val="24"/>
          <w:szCs w:val="24"/>
        </w:rPr>
        <w:fldChar w:fldCharType="end"/>
      </w:r>
      <w:bookmarkEnd w:id="17"/>
      <w:r w:rsidRPr="00014163">
        <w:rPr>
          <w:rFonts w:asciiTheme="majorHAnsi" w:eastAsia="Times New Roman" w:hAnsiTheme="majorHAnsi" w:cs="Times New Roman"/>
          <w:sz w:val="24"/>
          <w:szCs w:val="24"/>
        </w:rPr>
        <w:t xml:space="preserve">), то напоследък съдебната практика все по-често се отнася до правилата на Договора за ЕО в областта на </w:t>
      </w:r>
      <w:r w:rsidRPr="00014163">
        <w:rPr>
          <w:rFonts w:asciiTheme="majorHAnsi" w:eastAsia="Times New Roman" w:hAnsiTheme="majorHAnsi" w:cs="Times New Roman"/>
          <w:sz w:val="24"/>
          <w:szCs w:val="24"/>
        </w:rPr>
        <w:lastRenderedPageBreak/>
        <w:t>конкуренцията(</w:t>
      </w:r>
      <w:bookmarkStart w:id="18" w:name="Footref19"/>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"Footnote19"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19</w:t>
      </w:r>
      <w:r w:rsidR="008D746D" w:rsidRPr="00014163">
        <w:rPr>
          <w:rFonts w:asciiTheme="majorHAnsi" w:eastAsia="Times New Roman" w:hAnsiTheme="majorHAnsi" w:cs="Times New Roman"/>
          <w:sz w:val="24"/>
          <w:szCs w:val="24"/>
        </w:rPr>
        <w:fldChar w:fldCharType="end"/>
      </w:r>
      <w:bookmarkEnd w:id="18"/>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Такъв е и настоящият случай, в който от Съда се иска тълкуване на членове 82 ЕО и 86 ЕО.</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28.      Докато първият преюдициален въпрос се отнася до приложимостта на членове 82 ЕО и 86 ЕО към организация с нестопанска цел като ELPA, с втория въпрос препращащата юрисдикция поставя във фокус двойствената роля на ELPA като организация, която участва при издаване на разрешения от държавата за мотоциклетни състезания, а същевременно сама организира такива състезания.</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i/>
          <w:iCs/>
          <w:sz w:val="24"/>
          <w:szCs w:val="24"/>
        </w:rPr>
      </w:pPr>
      <w:r w:rsidRPr="00014163">
        <w:rPr>
          <w:rFonts w:asciiTheme="majorHAnsi" w:eastAsia="Times New Roman" w:hAnsiTheme="majorHAnsi" w:cs="Times New Roman"/>
          <w:i/>
          <w:iCs/>
          <w:sz w:val="24"/>
          <w:szCs w:val="24"/>
        </w:rPr>
        <w:t> Б – Приложимост на членове 82 ЕО и 86 ЕО (първи преюдициален въпрос)</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29.      С първия си въпрос препращащата юрисдикция иска по същество да се установи дали дейността на сдружение с нестопанска цел попада в приложното поле на членове 82 ЕО и 86 ЕО, ако това сдружение не само има изключително право на участие при издаването на административни разрешения за мотоциклетни състезания, но и самò организира такива състезания и сключва в тази връзка договори за спонсорство, реклама и застраховка.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30.      Общностното право на конкуренцията се отнася до дейността на </w:t>
      </w:r>
      <w:proofErr w:type="gramStart"/>
      <w:r w:rsidRPr="00014163">
        <w:rPr>
          <w:rFonts w:asciiTheme="majorHAnsi" w:eastAsia="Times New Roman" w:hAnsiTheme="majorHAnsi" w:cs="Times New Roman"/>
          <w:sz w:val="24"/>
          <w:szCs w:val="24"/>
        </w:rPr>
        <w:t>предприятията(</w:t>
      </w:r>
      <w:bookmarkStart w:id="19" w:name="Footref20"/>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"Footnote20"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20</w:t>
      </w:r>
      <w:r w:rsidR="008D746D" w:rsidRPr="00014163">
        <w:rPr>
          <w:rFonts w:asciiTheme="majorHAnsi" w:eastAsia="Times New Roman" w:hAnsiTheme="majorHAnsi" w:cs="Times New Roman"/>
          <w:sz w:val="24"/>
          <w:szCs w:val="24"/>
        </w:rPr>
        <w:fldChar w:fldCharType="end"/>
      </w:r>
      <w:bookmarkEnd w:id="19"/>
      <w:r w:rsidRPr="00014163">
        <w:rPr>
          <w:rFonts w:asciiTheme="majorHAnsi" w:eastAsia="Times New Roman" w:hAnsiTheme="majorHAnsi" w:cs="Times New Roman"/>
          <w:sz w:val="24"/>
          <w:szCs w:val="24"/>
        </w:rPr>
        <w:t xml:space="preserve">). Затова основна предпоставка за прилагането на членове 82 ЕО и 86 ЕО е въпросното сдружение да е предприятие по смисъла на разпоредбите на Договора за ЕО в областта на конкуренцията (вж. раздел 1 по-нататък). </w:t>
      </w:r>
      <w:proofErr w:type="gramStart"/>
      <w:r w:rsidRPr="00014163">
        <w:rPr>
          <w:rFonts w:asciiTheme="majorHAnsi" w:eastAsia="Times New Roman" w:hAnsiTheme="majorHAnsi" w:cs="Times New Roman"/>
          <w:sz w:val="24"/>
          <w:szCs w:val="24"/>
        </w:rPr>
        <w:t>Прилагането на член 82 ЕО освен това предполага посоченото сдружение да има господстващо положение на пазара и да е налице възможност да се засегне търговията между държавите-членки (вж. раздел 2 по-нататък).</w:t>
      </w:r>
      <w:proofErr w:type="gramEnd"/>
      <w:r w:rsidRPr="00014163">
        <w:rPr>
          <w:rFonts w:asciiTheme="majorHAnsi" w:eastAsia="Times New Roman" w:hAnsiTheme="majorHAnsi" w:cs="Times New Roman"/>
          <w:sz w:val="24"/>
          <w:szCs w:val="24"/>
        </w:rPr>
        <w:t xml:space="preserve"> Що се отнася най-сетне до прилагането на член 86 ЕО, трябва да се провери и дали държавата е предоставила на посоченото сдружение специални или изключителни права (вж. раздел 3 по-нататък).</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      Понятието за предприятие по смисъла на общностното право на конкуренцията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31.      Понятието за предприятие в рамките на общностното право на конкуренцията следва да бъде разбирано във функционален аспект и обхваща всяко образувание, което извършва икономическа дейност, независимо от правния му статут и начин на финансиране(</w:t>
      </w:r>
      <w:bookmarkStart w:id="20" w:name="Footref21"/>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"Footnote21"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21</w:t>
      </w:r>
      <w:r w:rsidR="008D746D" w:rsidRPr="00014163">
        <w:rPr>
          <w:rFonts w:asciiTheme="majorHAnsi" w:eastAsia="Times New Roman" w:hAnsiTheme="majorHAnsi" w:cs="Times New Roman"/>
          <w:sz w:val="24"/>
          <w:szCs w:val="24"/>
        </w:rPr>
        <w:fldChar w:fldCharType="end"/>
      </w:r>
      <w:bookmarkEnd w:id="20"/>
      <w:r w:rsidRPr="00014163">
        <w:rPr>
          <w:rFonts w:asciiTheme="majorHAnsi" w:eastAsia="Times New Roman" w:hAnsiTheme="majorHAnsi" w:cs="Times New Roman"/>
          <w:sz w:val="24"/>
          <w:szCs w:val="24"/>
        </w:rPr>
        <w:t xml:space="preserve">). Образувание, което не извършва икономическа дейност, не е предприятие по смисъла на правото на </w:t>
      </w:r>
      <w:proofErr w:type="gramStart"/>
      <w:r w:rsidRPr="00014163">
        <w:rPr>
          <w:rFonts w:asciiTheme="majorHAnsi" w:eastAsia="Times New Roman" w:hAnsiTheme="majorHAnsi" w:cs="Times New Roman"/>
          <w:sz w:val="24"/>
          <w:szCs w:val="24"/>
        </w:rPr>
        <w:t>конкуренцията(</w:t>
      </w:r>
      <w:bookmarkStart w:id="21" w:name="Footref22"/>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"Footnote22"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22</w:t>
      </w:r>
      <w:r w:rsidR="008D746D" w:rsidRPr="00014163">
        <w:rPr>
          <w:rFonts w:asciiTheme="majorHAnsi" w:eastAsia="Times New Roman" w:hAnsiTheme="majorHAnsi" w:cs="Times New Roman"/>
          <w:sz w:val="24"/>
          <w:szCs w:val="24"/>
        </w:rPr>
        <w:fldChar w:fldCharType="end"/>
      </w:r>
      <w:bookmarkEnd w:id="21"/>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32.      Икономическата дейност (дейността „като предприятие“) се изразява в предлагането на стоки или услуги на определен </w:t>
      </w:r>
      <w:proofErr w:type="gramStart"/>
      <w:r w:rsidRPr="00014163">
        <w:rPr>
          <w:rFonts w:asciiTheme="majorHAnsi" w:eastAsia="Times New Roman" w:hAnsiTheme="majorHAnsi" w:cs="Times New Roman"/>
          <w:sz w:val="24"/>
          <w:szCs w:val="24"/>
        </w:rPr>
        <w:t>пазар(</w:t>
      </w:r>
      <w:bookmarkStart w:id="22" w:name="Footref23"/>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"Footnote23"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23</w:t>
      </w:r>
      <w:r w:rsidR="008D746D" w:rsidRPr="00014163">
        <w:rPr>
          <w:rFonts w:asciiTheme="majorHAnsi" w:eastAsia="Times New Roman" w:hAnsiTheme="majorHAnsi" w:cs="Times New Roman"/>
          <w:sz w:val="24"/>
          <w:szCs w:val="24"/>
        </w:rPr>
        <w:fldChar w:fldCharType="end"/>
      </w:r>
      <w:bookmarkEnd w:id="22"/>
      <w:r w:rsidRPr="00014163">
        <w:rPr>
          <w:rFonts w:asciiTheme="majorHAnsi" w:eastAsia="Times New Roman" w:hAnsiTheme="majorHAnsi" w:cs="Times New Roman"/>
          <w:sz w:val="24"/>
          <w:szCs w:val="24"/>
        </w:rPr>
        <w:t>). Макар и окончателната преценка за дейността на ELPA да е от компетентността на препращащата юрисдикция, в рамките на преюдициалното производство Съдът може да ѝ предостави всички съществени указания, които биха я улеснили при вземането на решение(</w:t>
      </w:r>
      <w:bookmarkStart w:id="23" w:name="Footref24"/>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"Footnote24"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24</w:t>
      </w:r>
      <w:r w:rsidR="008D746D" w:rsidRPr="00014163">
        <w:rPr>
          <w:rFonts w:asciiTheme="majorHAnsi" w:eastAsia="Times New Roman" w:hAnsiTheme="majorHAnsi" w:cs="Times New Roman"/>
          <w:sz w:val="24"/>
          <w:szCs w:val="24"/>
        </w:rPr>
        <w:fldChar w:fldCharType="end"/>
      </w:r>
      <w:bookmarkEnd w:id="23"/>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t>33.      Сдружение като ELPA предоставя услуги в два аспекта: от една страна, ELPA </w:t>
      </w:r>
      <w:r w:rsidRPr="00014163">
        <w:rPr>
          <w:rFonts w:asciiTheme="majorHAnsi" w:eastAsia="Times New Roman" w:hAnsiTheme="majorHAnsi" w:cs="Times New Roman"/>
          <w:i/>
          <w:iCs/>
          <w:sz w:val="24"/>
          <w:szCs w:val="24"/>
        </w:rPr>
        <w:t>организира</w:t>
      </w:r>
      <w:r w:rsidRPr="00014163">
        <w:rPr>
          <w:rFonts w:asciiTheme="majorHAnsi" w:eastAsia="Times New Roman" w:hAnsiTheme="majorHAnsi" w:cs="Times New Roman"/>
          <w:sz w:val="24"/>
          <w:szCs w:val="24"/>
        </w:rPr>
        <w:t xml:space="preserve"> мотоциклетни състезания в Гърция с помощта на учредения от него специално за целта комитет </w:t>
      </w:r>
      <w:proofErr w:type="gramStart"/>
      <w:r w:rsidRPr="00014163">
        <w:rPr>
          <w:rFonts w:asciiTheme="majorHAnsi" w:eastAsia="Times New Roman" w:hAnsiTheme="majorHAnsi" w:cs="Times New Roman"/>
          <w:sz w:val="24"/>
          <w:szCs w:val="24"/>
        </w:rPr>
        <w:t>ETHEAM(</w:t>
      </w:r>
      <w:bookmarkStart w:id="24" w:name="Footref25"/>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"Footnote25"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25</w:t>
      </w:r>
      <w:r w:rsidR="008D746D" w:rsidRPr="00014163">
        <w:rPr>
          <w:rFonts w:asciiTheme="majorHAnsi" w:eastAsia="Times New Roman" w:hAnsiTheme="majorHAnsi" w:cs="Times New Roman"/>
          <w:sz w:val="24"/>
          <w:szCs w:val="24"/>
        </w:rPr>
        <w:fldChar w:fldCharType="end"/>
      </w:r>
      <w:bookmarkEnd w:id="24"/>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От друга страна, по данни на препращащата юрисдикция ELPA </w:t>
      </w:r>
      <w:r w:rsidRPr="00014163">
        <w:rPr>
          <w:rFonts w:asciiTheme="majorHAnsi" w:eastAsia="Times New Roman" w:hAnsiTheme="majorHAnsi" w:cs="Times New Roman"/>
          <w:i/>
          <w:iCs/>
          <w:sz w:val="24"/>
          <w:szCs w:val="24"/>
        </w:rPr>
        <w:t>реализира</w:t>
      </w:r>
      <w:r w:rsidRPr="00014163">
        <w:rPr>
          <w:rFonts w:asciiTheme="majorHAnsi" w:eastAsia="Times New Roman" w:hAnsiTheme="majorHAnsi" w:cs="Times New Roman"/>
          <w:sz w:val="24"/>
          <w:szCs w:val="24"/>
        </w:rPr>
        <w:t> тези мотоциклетни състезания </w:t>
      </w:r>
      <w:r w:rsidRPr="00014163">
        <w:rPr>
          <w:rFonts w:asciiTheme="majorHAnsi" w:eastAsia="Times New Roman" w:hAnsiTheme="majorHAnsi" w:cs="Times New Roman"/>
          <w:i/>
          <w:iCs/>
          <w:sz w:val="24"/>
          <w:szCs w:val="24"/>
        </w:rPr>
        <w:t>на пазара</w:t>
      </w:r>
      <w:r w:rsidRPr="00014163">
        <w:rPr>
          <w:rFonts w:asciiTheme="majorHAnsi" w:eastAsia="Times New Roman" w:hAnsiTheme="majorHAnsi" w:cs="Times New Roman"/>
          <w:sz w:val="24"/>
          <w:szCs w:val="24"/>
        </w:rPr>
        <w:t> чрез сключване или посредничество за сключването на договори за спонсорство, реклама и застраховка.</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34.      За двете дейности — организацията и пазарната реализация на мотоциклетни състезания, съществува един пазар, при това независимо дали ELPA предоставя съответните услуги като монополист, или такива услуги предлагат и други образувания, например MOTOE. </w:t>
      </w:r>
      <w:proofErr w:type="gramStart"/>
      <w:r w:rsidRPr="00014163">
        <w:rPr>
          <w:rFonts w:asciiTheme="majorHAnsi" w:eastAsia="Times New Roman" w:hAnsiTheme="majorHAnsi" w:cs="Times New Roman"/>
          <w:sz w:val="24"/>
          <w:szCs w:val="24"/>
        </w:rPr>
        <w:t>Така във връзка с </w:t>
      </w:r>
      <w:r w:rsidRPr="00014163">
        <w:rPr>
          <w:rFonts w:asciiTheme="majorHAnsi" w:eastAsia="Times New Roman" w:hAnsiTheme="majorHAnsi" w:cs="Times New Roman"/>
          <w:i/>
          <w:iCs/>
          <w:sz w:val="24"/>
          <w:szCs w:val="24"/>
        </w:rPr>
        <w:t>организацията</w:t>
      </w:r>
      <w:r w:rsidRPr="00014163">
        <w:rPr>
          <w:rFonts w:asciiTheme="majorHAnsi" w:eastAsia="Times New Roman" w:hAnsiTheme="majorHAnsi" w:cs="Times New Roman"/>
          <w:sz w:val="24"/>
          <w:szCs w:val="24"/>
        </w:rPr>
        <w:t> на мотоциклетните състезания услугите на ELPA се търсят и заплащат от участващите мотоциклетисти или техните клубове.</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Що се отнася до </w:t>
      </w:r>
      <w:r w:rsidRPr="00014163">
        <w:rPr>
          <w:rFonts w:asciiTheme="majorHAnsi" w:eastAsia="Times New Roman" w:hAnsiTheme="majorHAnsi" w:cs="Times New Roman"/>
          <w:i/>
          <w:iCs/>
          <w:sz w:val="24"/>
          <w:szCs w:val="24"/>
        </w:rPr>
        <w:t>пазарната реализация </w:t>
      </w:r>
      <w:r w:rsidRPr="00014163">
        <w:rPr>
          <w:rFonts w:asciiTheme="majorHAnsi" w:eastAsia="Times New Roman" w:hAnsiTheme="majorHAnsi" w:cs="Times New Roman"/>
          <w:sz w:val="24"/>
          <w:szCs w:val="24"/>
        </w:rPr>
        <w:t>на мотоциклетните състезания, услугите на ELPA се използват от съответните спонсори, рекламни партньори и застрахователи.</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Освен това в хода на съдебното заседание бе посочено, че пазарната реализация на мотоциклетните състезания може да се извършва и чрез продажбата на входни билети за достъп до мястото на състезанието, а евентуално и чрез продажбата на телевизионни права.</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35.      Наистина гръцкото правителство оспорва твърдението, че ELPA все още сам </w:t>
      </w:r>
      <w:r w:rsidRPr="00014163">
        <w:rPr>
          <w:rFonts w:asciiTheme="majorHAnsi" w:eastAsia="Times New Roman" w:hAnsiTheme="majorHAnsi" w:cs="Times New Roman"/>
          <w:i/>
          <w:iCs/>
          <w:sz w:val="24"/>
          <w:szCs w:val="24"/>
        </w:rPr>
        <w:t>организира</w:t>
      </w:r>
      <w:r w:rsidRPr="00014163">
        <w:rPr>
          <w:rFonts w:asciiTheme="majorHAnsi" w:eastAsia="Times New Roman" w:hAnsiTheme="majorHAnsi" w:cs="Times New Roman"/>
          <w:sz w:val="24"/>
          <w:szCs w:val="24"/>
        </w:rPr>
        <w:t xml:space="preserve"> мотоциклетни състезания. За това обаче е достатъчно да се отбележи, че що се отнася до фактическия и правен контекст, в който се вписва преюдициалното запитване, Съдът трябва да се основава на установеното от препращащата </w:t>
      </w:r>
      <w:proofErr w:type="gramStart"/>
      <w:r w:rsidRPr="00014163">
        <w:rPr>
          <w:rFonts w:asciiTheme="majorHAnsi" w:eastAsia="Times New Roman" w:hAnsiTheme="majorHAnsi" w:cs="Times New Roman"/>
          <w:sz w:val="24"/>
          <w:szCs w:val="24"/>
        </w:rPr>
        <w:t>юрисдикция(</w:t>
      </w:r>
      <w:bookmarkStart w:id="25" w:name="Footref26"/>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"Footnote26"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26</w:t>
      </w:r>
      <w:r w:rsidR="008D746D" w:rsidRPr="00014163">
        <w:rPr>
          <w:rFonts w:asciiTheme="majorHAnsi" w:eastAsia="Times New Roman" w:hAnsiTheme="majorHAnsi" w:cs="Times New Roman"/>
          <w:sz w:val="24"/>
          <w:szCs w:val="24"/>
        </w:rPr>
        <w:fldChar w:fldCharType="end"/>
      </w:r>
      <w:bookmarkEnd w:id="25"/>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В решението за препращане изрично се приема за установено, че ELPA сам организира мотоциклетни състезания.</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Както впрочем бе установено в хода на съдебното заседание, ELPA явно подпомага определени клубове по мотоциклетизъм при организацията на техните състезания и понякога е техен съорганизатор.</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Освен ако в това отношение препращащата юрисдикция не установи друго, посоченото обстоятелство показва, че ELPA все още извършва дейност в областта на организацията на мотоциклетни състезания.</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Освен това в производството пред Съда не се оспорва, че ELPA осъществява дейност в областта на </w:t>
      </w:r>
      <w:r w:rsidRPr="00014163">
        <w:rPr>
          <w:rFonts w:asciiTheme="majorHAnsi" w:eastAsia="Times New Roman" w:hAnsiTheme="majorHAnsi" w:cs="Times New Roman"/>
          <w:i/>
          <w:iCs/>
          <w:sz w:val="24"/>
          <w:szCs w:val="24"/>
        </w:rPr>
        <w:t>пазарната реализация</w:t>
      </w:r>
      <w:r w:rsidRPr="00014163">
        <w:rPr>
          <w:rFonts w:asciiTheme="majorHAnsi" w:eastAsia="Times New Roman" w:hAnsiTheme="majorHAnsi" w:cs="Times New Roman"/>
          <w:sz w:val="24"/>
          <w:szCs w:val="24"/>
        </w:rPr>
        <w:t> на мотоциклетни състезания.</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36.      Всичко това е показателно за икономическия характер на дейността на сдружение като ELPA, а следователно и за качеството му на предприятие.</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37.      Както ще покажа по-нататък, обстоятелствата, че предоставяните от ELPA услуги имат връзка със спорта, че ELPA е сдружение с нестопанска цел и дейността му не е насочена към получаване на печалба, както и че ELPA участва във вземането на административни решения за разрешаване на мотоциклетни състезания, не са пречка ELPA да се разглежда като предприятие.</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Услуги, свързани със спорта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38.      Обстоятелството, че посочените услуги имат връзка със спорта, не е пречка за квалифицирането им като икономическа дейност, нито за </w:t>
      </w:r>
      <w:r w:rsidRPr="00014163">
        <w:rPr>
          <w:rFonts w:asciiTheme="majorHAnsi" w:eastAsia="Times New Roman" w:hAnsiTheme="majorHAnsi" w:cs="Times New Roman"/>
          <w:sz w:val="24"/>
          <w:szCs w:val="24"/>
        </w:rPr>
        <w:lastRenderedPageBreak/>
        <w:t>произтичащото от тази квалификация прилагане на разпоредбите на Договора за ЕО в областта на конкуренцията(</w:t>
      </w:r>
      <w:bookmarkStart w:id="26" w:name="Footref27"/>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"Footnote27"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27</w:t>
      </w:r>
      <w:r w:rsidR="008D746D" w:rsidRPr="00014163">
        <w:rPr>
          <w:rFonts w:asciiTheme="majorHAnsi" w:eastAsia="Times New Roman" w:hAnsiTheme="majorHAnsi" w:cs="Times New Roman"/>
          <w:sz w:val="24"/>
          <w:szCs w:val="24"/>
        </w:rPr>
        <w:fldChar w:fldCharType="end"/>
      </w:r>
      <w:bookmarkEnd w:id="26"/>
      <w:r w:rsidRPr="00014163">
        <w:rPr>
          <w:rFonts w:asciiTheme="majorHAnsi" w:eastAsia="Times New Roman" w:hAnsiTheme="majorHAnsi" w:cs="Times New Roman"/>
          <w:sz w:val="24"/>
          <w:szCs w:val="24"/>
        </w:rPr>
        <w:t>), защото освен значимата си социална роля(</w:t>
      </w:r>
      <w:bookmarkStart w:id="27" w:name="Footref28"/>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"Footnote28"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28</w:t>
      </w:r>
      <w:r w:rsidR="008D746D" w:rsidRPr="00014163">
        <w:rPr>
          <w:rFonts w:asciiTheme="majorHAnsi" w:eastAsia="Times New Roman" w:hAnsiTheme="majorHAnsi" w:cs="Times New Roman"/>
          <w:sz w:val="24"/>
          <w:szCs w:val="24"/>
        </w:rPr>
        <w:fldChar w:fldCharType="end"/>
      </w:r>
      <w:bookmarkEnd w:id="27"/>
      <w:r w:rsidRPr="00014163">
        <w:rPr>
          <w:rFonts w:asciiTheme="majorHAnsi" w:eastAsia="Times New Roman" w:hAnsiTheme="majorHAnsi" w:cs="Times New Roman"/>
          <w:sz w:val="24"/>
          <w:szCs w:val="24"/>
        </w:rPr>
        <w:t xml:space="preserve">) спортът днес има и икономическо измерение, което не трябва да се пренебрегва. Поради това в контекста на прилагането на правилата на конкуренцията следва във всеки отделен случай да се проверява дали съответната свързана със спорта дейност има икономически характер или </w:t>
      </w:r>
      <w:proofErr w:type="gramStart"/>
      <w:r w:rsidRPr="00014163">
        <w:rPr>
          <w:rFonts w:asciiTheme="majorHAnsi" w:eastAsia="Times New Roman" w:hAnsiTheme="majorHAnsi" w:cs="Times New Roman"/>
          <w:sz w:val="24"/>
          <w:szCs w:val="24"/>
        </w:rPr>
        <w:t>не(</w:t>
      </w:r>
      <w:bookmarkStart w:id="28" w:name="Footref29"/>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"Footnote29"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29</w:t>
      </w:r>
      <w:r w:rsidR="008D746D" w:rsidRPr="00014163">
        <w:rPr>
          <w:rFonts w:asciiTheme="majorHAnsi" w:eastAsia="Times New Roman" w:hAnsiTheme="majorHAnsi" w:cs="Times New Roman"/>
          <w:sz w:val="24"/>
          <w:szCs w:val="24"/>
        </w:rPr>
        <w:fldChar w:fldCharType="end"/>
      </w:r>
      <w:bookmarkEnd w:id="28"/>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39.      В този смисъл организаторът на спортна проява може да извършва икономическа дейност, независимо дали участващите в състезанието спортисти от своя страна упражняват съответния спорт като професионалисти или само като аматьори, с други думи като икономическа дейност или не. </w:t>
      </w:r>
      <w:proofErr w:type="gramStart"/>
      <w:r w:rsidRPr="00014163">
        <w:rPr>
          <w:rFonts w:asciiTheme="majorHAnsi" w:eastAsia="Times New Roman" w:hAnsiTheme="majorHAnsi" w:cs="Times New Roman"/>
          <w:sz w:val="24"/>
          <w:szCs w:val="24"/>
        </w:rPr>
        <w:t>За разлика от твърдението на гръцкото правителство в случая всъщност не е от значение дейността на участващите в мотоциклетните състезания спортисти.</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Решаващо значение при преценката дали сдружение като ELPA е предприятие има единствено осъществяваната от самото него дейност.</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40.      Ако за спортните прояви се изисква заплащането на определена сума от участниците или поне от зрителите, организирането им се явява икономическа дейност. </w:t>
      </w:r>
      <w:proofErr w:type="gramStart"/>
      <w:r w:rsidRPr="00014163">
        <w:rPr>
          <w:rFonts w:asciiTheme="majorHAnsi" w:eastAsia="Times New Roman" w:hAnsiTheme="majorHAnsi" w:cs="Times New Roman"/>
          <w:sz w:val="24"/>
          <w:szCs w:val="24"/>
        </w:rPr>
        <w:t>Ако във връзка със спортната проява се сключват договори за спонсорство, реклама и застраховка, тази пазарна реализация на съответната проява също е икономическа дейност.</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В това отношение положението на организатора на спортната проява не може да се разглежда като различно от това на производителите или търговците на спортно облекло и оборудване; той също осъществява икономическа дейност, независимо дали съответните спортисти са професионалисти или аматьори.</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Липса на стопанска цел</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41.      Обстоятелството, че образувание като ELPA има статут на сдружение с нестопанска цел, т.е. дейността му не е насочена към реализиране на печалба, също не е пречка да се приеме, че е налице икономическа дейност и следователно, че то е предприятие. Такива образувания също могат да предлагат своите услуги на пазара, като се конкурират с други икономически </w:t>
      </w:r>
      <w:proofErr w:type="gramStart"/>
      <w:r w:rsidRPr="00014163">
        <w:rPr>
          <w:rFonts w:asciiTheme="majorHAnsi" w:eastAsia="Times New Roman" w:hAnsiTheme="majorHAnsi" w:cs="Times New Roman"/>
          <w:sz w:val="24"/>
          <w:szCs w:val="24"/>
        </w:rPr>
        <w:t>оператори(</w:t>
      </w:r>
      <w:bookmarkStart w:id="29" w:name="Footref30"/>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"Footnote30"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30</w:t>
      </w:r>
      <w:r w:rsidR="008D746D" w:rsidRPr="00014163">
        <w:rPr>
          <w:rFonts w:asciiTheme="majorHAnsi" w:eastAsia="Times New Roman" w:hAnsiTheme="majorHAnsi" w:cs="Times New Roman"/>
          <w:sz w:val="24"/>
          <w:szCs w:val="24"/>
        </w:rPr>
        <w:fldChar w:fldCharType="end"/>
      </w:r>
      <w:bookmarkEnd w:id="29"/>
      <w:r w:rsidRPr="00014163">
        <w:rPr>
          <w:rFonts w:asciiTheme="majorHAnsi" w:eastAsia="Times New Roman" w:hAnsiTheme="majorHAnsi" w:cs="Times New Roman"/>
          <w:sz w:val="24"/>
          <w:szCs w:val="24"/>
        </w:rPr>
        <w:t>), независимо дали останалите икономически оператори извършват дейност с нестопанска или с търговска цел.</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42.      Това личи особено ясно в настоящия случай, в който две гръцки сдружения с нестопанска цел — ELPA и MOTOE, са си поставили за цел да организират мотоциклетни състезания и да ги реализират на пазара. </w:t>
      </w:r>
      <w:proofErr w:type="gramStart"/>
      <w:r w:rsidRPr="00014163">
        <w:rPr>
          <w:rFonts w:asciiTheme="majorHAnsi" w:eastAsia="Times New Roman" w:hAnsiTheme="majorHAnsi" w:cs="Times New Roman"/>
          <w:sz w:val="24"/>
          <w:szCs w:val="24"/>
        </w:rPr>
        <w:t>Успехът на такива образувания в дългосрочен план зависи от способността им да наложат предлаганите от тях услуги спрямо услугите на конкурентите им и да осигурят финансиране за дейността си.</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43.      Вярно е, че едно образувание не може да бъде квалифицирано като предприятие, когато извършва </w:t>
      </w:r>
      <w:r w:rsidRPr="00014163">
        <w:rPr>
          <w:rFonts w:asciiTheme="majorHAnsi" w:eastAsia="Times New Roman" w:hAnsiTheme="majorHAnsi" w:cs="Times New Roman"/>
          <w:i/>
          <w:iCs/>
          <w:sz w:val="24"/>
          <w:szCs w:val="24"/>
        </w:rPr>
        <w:t>чисто социална или общественополезна дейност</w:t>
      </w:r>
      <w:r w:rsidRPr="00014163">
        <w:rPr>
          <w:rFonts w:asciiTheme="majorHAnsi" w:eastAsia="Times New Roman" w:hAnsiTheme="majorHAnsi" w:cs="Times New Roman"/>
          <w:sz w:val="24"/>
          <w:szCs w:val="24"/>
        </w:rPr>
        <w:t>, която не се упражнява на даден пазар в конкуренция с други икономически оператори(</w:t>
      </w:r>
      <w:bookmarkStart w:id="30" w:name="Footref31"/>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"Footnote31"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31</w:t>
      </w:r>
      <w:r w:rsidR="008D746D" w:rsidRPr="00014163">
        <w:rPr>
          <w:rFonts w:asciiTheme="majorHAnsi" w:eastAsia="Times New Roman" w:hAnsiTheme="majorHAnsi" w:cs="Times New Roman"/>
          <w:sz w:val="24"/>
          <w:szCs w:val="24"/>
        </w:rPr>
        <w:fldChar w:fldCharType="end"/>
      </w:r>
      <w:bookmarkEnd w:id="30"/>
      <w:r w:rsidRPr="00014163">
        <w:rPr>
          <w:rFonts w:asciiTheme="majorHAnsi" w:eastAsia="Times New Roman" w:hAnsiTheme="majorHAnsi" w:cs="Times New Roman"/>
          <w:sz w:val="24"/>
          <w:szCs w:val="24"/>
        </w:rPr>
        <w:t xml:space="preserve">), защото дейност, която предвид своя характер, </w:t>
      </w:r>
      <w:r w:rsidRPr="00014163">
        <w:rPr>
          <w:rFonts w:asciiTheme="majorHAnsi" w:eastAsia="Times New Roman" w:hAnsiTheme="majorHAnsi" w:cs="Times New Roman"/>
          <w:sz w:val="24"/>
          <w:szCs w:val="24"/>
        </w:rPr>
        <w:lastRenderedPageBreak/>
        <w:t>приложими спрямо нея разпоредби и предмет не представлява икономическа дейност, не е подчинена на правилата на Договора за ЕО в областта на конкуренцията(</w:t>
      </w:r>
      <w:bookmarkStart w:id="31" w:name="Footref32"/>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"Footnote32"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32</w:t>
      </w:r>
      <w:r w:rsidR="008D746D" w:rsidRPr="00014163">
        <w:rPr>
          <w:rFonts w:asciiTheme="majorHAnsi" w:eastAsia="Times New Roman" w:hAnsiTheme="majorHAnsi" w:cs="Times New Roman"/>
          <w:sz w:val="24"/>
          <w:szCs w:val="24"/>
        </w:rPr>
        <w:fldChar w:fldCharType="end"/>
      </w:r>
      <w:bookmarkEnd w:id="31"/>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44.      Ако обаче започне </w:t>
      </w:r>
      <w:r w:rsidRPr="00014163">
        <w:rPr>
          <w:rFonts w:asciiTheme="majorHAnsi" w:eastAsia="Times New Roman" w:hAnsiTheme="majorHAnsi" w:cs="Times New Roman"/>
          <w:i/>
          <w:iCs/>
          <w:sz w:val="24"/>
          <w:szCs w:val="24"/>
        </w:rPr>
        <w:t>да реализира на пазара</w:t>
      </w:r>
      <w:r w:rsidRPr="00014163">
        <w:rPr>
          <w:rFonts w:asciiTheme="majorHAnsi" w:eastAsia="Times New Roman" w:hAnsiTheme="majorHAnsi" w:cs="Times New Roman"/>
          <w:sz w:val="24"/>
          <w:szCs w:val="24"/>
        </w:rPr>
        <w:t> своите услуги(</w:t>
      </w:r>
      <w:bookmarkStart w:id="32" w:name="Footref33"/>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"Footnote33"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33</w:t>
      </w:r>
      <w:r w:rsidR="008D746D" w:rsidRPr="00014163">
        <w:rPr>
          <w:rFonts w:asciiTheme="majorHAnsi" w:eastAsia="Times New Roman" w:hAnsiTheme="majorHAnsi" w:cs="Times New Roman"/>
          <w:sz w:val="24"/>
          <w:szCs w:val="24"/>
        </w:rPr>
        <w:fldChar w:fldCharType="end"/>
      </w:r>
      <w:bookmarkEnd w:id="32"/>
      <w:r w:rsidRPr="00014163">
        <w:rPr>
          <w:rFonts w:asciiTheme="majorHAnsi" w:eastAsia="Times New Roman" w:hAnsiTheme="majorHAnsi" w:cs="Times New Roman"/>
          <w:sz w:val="24"/>
          <w:szCs w:val="24"/>
        </w:rPr>
        <w:t>)</w:t>
      </w:r>
      <w:r w:rsidRPr="00014163">
        <w:rPr>
          <w:rFonts w:asciiTheme="majorHAnsi" w:eastAsia="Times New Roman" w:hAnsiTheme="majorHAnsi" w:cs="Times New Roman"/>
          <w:i/>
          <w:iCs/>
          <w:sz w:val="24"/>
          <w:szCs w:val="24"/>
        </w:rPr>
        <w:t>,</w:t>
      </w:r>
      <w:r w:rsidRPr="00014163">
        <w:rPr>
          <w:rFonts w:asciiTheme="majorHAnsi" w:eastAsia="Times New Roman" w:hAnsiTheme="majorHAnsi" w:cs="Times New Roman"/>
          <w:sz w:val="24"/>
          <w:szCs w:val="24"/>
        </w:rPr>
        <w:t> съответното образувание напуска сферата на чисто социалната, съответно общественополезна дейност; само по себе си обстоятелството, че то продължава да преследва и цел от обществен интерес (в случая с ELPA — подпомагане на спорта) и освен това осъществява дейност без стопанска цел, вече не е достатъчно, за да не се разглежда като предприятие по смисъла на правото на конкуренцията(</w:t>
      </w:r>
      <w:bookmarkStart w:id="33" w:name="Footref34"/>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"Footnote34"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34</w:t>
      </w:r>
      <w:r w:rsidR="008D746D" w:rsidRPr="00014163">
        <w:rPr>
          <w:rFonts w:asciiTheme="majorHAnsi" w:eastAsia="Times New Roman" w:hAnsiTheme="majorHAnsi" w:cs="Times New Roman"/>
          <w:sz w:val="24"/>
          <w:szCs w:val="24"/>
        </w:rPr>
        <w:fldChar w:fldCharType="end"/>
      </w:r>
      <w:bookmarkEnd w:id="33"/>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45.      Гръцкото правителство възразява, че приходите на ELPA са достатъчни само за покриване на разходите му. Това обаче не оборва извода за наличието на икономическа дейност, тъй като дали дадено образувание е предприятие не зависи нито от големината му, нито от размера на печалбата </w:t>
      </w:r>
      <w:proofErr w:type="gramStart"/>
      <w:r w:rsidRPr="00014163">
        <w:rPr>
          <w:rFonts w:asciiTheme="majorHAnsi" w:eastAsia="Times New Roman" w:hAnsiTheme="majorHAnsi" w:cs="Times New Roman"/>
          <w:sz w:val="24"/>
          <w:szCs w:val="24"/>
        </w:rPr>
        <w:t>му(</w:t>
      </w:r>
      <w:bookmarkStart w:id="34" w:name="Footref35"/>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"Footnote35"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35</w:t>
      </w:r>
      <w:r w:rsidR="008D746D" w:rsidRPr="00014163">
        <w:rPr>
          <w:rFonts w:asciiTheme="majorHAnsi" w:eastAsia="Times New Roman" w:hAnsiTheme="majorHAnsi" w:cs="Times New Roman"/>
          <w:sz w:val="24"/>
          <w:szCs w:val="24"/>
        </w:rPr>
        <w:fldChar w:fldCharType="end"/>
      </w:r>
      <w:bookmarkEnd w:id="34"/>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46.      Като цяло сдружение като ELPA, което </w:t>
      </w:r>
      <w:r w:rsidRPr="00014163">
        <w:rPr>
          <w:rFonts w:asciiTheme="majorHAnsi" w:eastAsia="Times New Roman" w:hAnsiTheme="majorHAnsi" w:cs="Times New Roman"/>
          <w:i/>
          <w:iCs/>
          <w:sz w:val="24"/>
          <w:szCs w:val="24"/>
        </w:rPr>
        <w:t>реализира на пазара</w:t>
      </w:r>
      <w:r w:rsidRPr="00014163">
        <w:rPr>
          <w:rFonts w:asciiTheme="majorHAnsi" w:eastAsia="Times New Roman" w:hAnsiTheme="majorHAnsi" w:cs="Times New Roman"/>
          <w:sz w:val="24"/>
          <w:szCs w:val="24"/>
        </w:rPr>
        <w:t> своите услуги в областта на мотоциклетния спорт, следва да бъде разглеждано като предприятие независимо от липсата на стопанска цел.</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47.      Само мимоходом ще обърна внимание, че сдружение като ELPA по никакъв начин не наподобява регламентираните в закона социалноосигурителни институти, за които Съдът по няколко дела прие, че не притежават качеството на </w:t>
      </w:r>
      <w:proofErr w:type="gramStart"/>
      <w:r w:rsidRPr="00014163">
        <w:rPr>
          <w:rFonts w:asciiTheme="majorHAnsi" w:eastAsia="Times New Roman" w:hAnsiTheme="majorHAnsi" w:cs="Times New Roman"/>
          <w:sz w:val="24"/>
          <w:szCs w:val="24"/>
        </w:rPr>
        <w:t>предприятие(</w:t>
      </w:r>
      <w:bookmarkStart w:id="35" w:name="Footref36"/>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"Footnote36"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36</w:t>
      </w:r>
      <w:r w:rsidR="008D746D" w:rsidRPr="00014163">
        <w:rPr>
          <w:rFonts w:asciiTheme="majorHAnsi" w:eastAsia="Times New Roman" w:hAnsiTheme="majorHAnsi" w:cs="Times New Roman"/>
          <w:sz w:val="24"/>
          <w:szCs w:val="24"/>
        </w:rPr>
        <w:fldChar w:fldCharType="end"/>
      </w:r>
      <w:bookmarkEnd w:id="35"/>
      <w:r w:rsidRPr="00014163">
        <w:rPr>
          <w:rFonts w:asciiTheme="majorHAnsi" w:eastAsia="Times New Roman" w:hAnsiTheme="majorHAnsi" w:cs="Times New Roman"/>
          <w:sz w:val="24"/>
          <w:szCs w:val="24"/>
        </w:rPr>
        <w:t>). Тяхната дейност се характеризира не само със социална насоченост и липса на стопанска цел, но и с наличието на държавно регулиране, от което произтичат определени задължения за солидарност, без съответното образувание да притежава съществено влияние при определянето на обхвата на услугите, които следва да извършва, и на размера на събираните от него вноски(</w:t>
      </w:r>
      <w:bookmarkStart w:id="36" w:name="Footref37"/>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"Footnote37"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37</w:t>
      </w:r>
      <w:r w:rsidR="008D746D" w:rsidRPr="00014163">
        <w:rPr>
          <w:rFonts w:asciiTheme="majorHAnsi" w:eastAsia="Times New Roman" w:hAnsiTheme="majorHAnsi" w:cs="Times New Roman"/>
          <w:sz w:val="24"/>
          <w:szCs w:val="24"/>
        </w:rPr>
        <w:fldChar w:fldCharType="end"/>
      </w:r>
      <w:bookmarkEnd w:id="36"/>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Според информацията, с която разполага Съдът, ELPA не подлежи на подобно държавно регулиране; материалите по делото също не съдържат данни за наличието на държавни ограничения върху свободата на преценка на ELPA да определя своите услуги и евентуално дължимите за тях възнаграждения.</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Участие във вземането на административни решения за разрешаване на мотоциклетни състезания</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48.      В крайна сметка фактът, че наред с организирането на мотоциклетни състезания и пазарната им реализация, които вече разгледах, съгласно член 49 от Закона за движението по пътищата ELPA участва и във вземането на административни решения за разрешаване на такива състезания, също не оборва извода за наличието на икономическа дейност.</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49.      Наистина упражняването на властнически правомощия не попада в приложното поле на разпоредбите на Договора за ЕО в областта на конкуренцията и образуванията, които упражняват властнически правомощия, не са предприятия по смисъла на правото в областта на конкуренцията(</w:t>
      </w:r>
      <w:bookmarkStart w:id="37" w:name="Footref38"/>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"Footnote38"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38</w:t>
      </w:r>
      <w:r w:rsidR="008D746D" w:rsidRPr="00014163">
        <w:rPr>
          <w:rFonts w:asciiTheme="majorHAnsi" w:eastAsia="Times New Roman" w:hAnsiTheme="majorHAnsi" w:cs="Times New Roman"/>
          <w:sz w:val="24"/>
          <w:szCs w:val="24"/>
        </w:rPr>
        <w:fldChar w:fldCharType="end"/>
      </w:r>
      <w:bookmarkEnd w:id="37"/>
      <w:r w:rsidRPr="00014163">
        <w:rPr>
          <w:rFonts w:asciiTheme="majorHAnsi" w:eastAsia="Times New Roman" w:hAnsiTheme="majorHAnsi" w:cs="Times New Roman"/>
          <w:sz w:val="24"/>
          <w:szCs w:val="24"/>
        </w:rPr>
        <w:t xml:space="preserve">). </w:t>
      </w:r>
      <w:r w:rsidRPr="00014163">
        <w:rPr>
          <w:rFonts w:asciiTheme="majorHAnsi" w:eastAsia="Times New Roman" w:hAnsiTheme="majorHAnsi" w:cs="Times New Roman"/>
          <w:sz w:val="24"/>
          <w:szCs w:val="24"/>
        </w:rPr>
        <w:lastRenderedPageBreak/>
        <w:t xml:space="preserve">Въпреки това обаче квалифицирането на дадена дейност като упражняване на властнически правомощия или като икономическа дейност трябва да се прави отделно за всяка дейност, извършвана от дадено </w:t>
      </w:r>
      <w:proofErr w:type="gramStart"/>
      <w:r w:rsidRPr="00014163">
        <w:rPr>
          <w:rFonts w:asciiTheme="majorHAnsi" w:eastAsia="Times New Roman" w:hAnsiTheme="majorHAnsi" w:cs="Times New Roman"/>
          <w:sz w:val="24"/>
          <w:szCs w:val="24"/>
        </w:rPr>
        <w:t>образувание(</w:t>
      </w:r>
      <w:bookmarkStart w:id="38" w:name="Footref39"/>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"Footnote39"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39</w:t>
      </w:r>
      <w:r w:rsidR="008D746D" w:rsidRPr="00014163">
        <w:rPr>
          <w:rFonts w:asciiTheme="majorHAnsi" w:eastAsia="Times New Roman" w:hAnsiTheme="majorHAnsi" w:cs="Times New Roman"/>
          <w:sz w:val="24"/>
          <w:szCs w:val="24"/>
        </w:rPr>
        <w:fldChar w:fldCharType="end"/>
      </w:r>
      <w:bookmarkEnd w:id="38"/>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Следователно съответното образувание може да упражнява отчасти властнически правомощия и отчасти икономическа дейност.</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50.      Именно такъв е случаят при сдружение като ELPA, което участва при издаването на административни разрешения за мотоциклетни състезания, а същевременно самò организира такива състезания и ги реализира на пазара. Дори и участието на ELPA във вземането на административни решения за разрешаване на мотоциклетни състезания да бъде квалифицирано като упражняване на властнически правомощия, това по никакъв начин не променя качеството на предприятие на това сдружение в останалата му дейност, т.е. доколкото то самò организира мотоциклетни състезания и ги реализира на пазара.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Междинно заключение</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51.      С оглед на всичко изложено дотук сдружение като ELPA следва да се разглежда като предприятие по смисъла на разпоредбите на Договора за ЕО в областта на конкуренцията.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2.      Господстващо положение и засягане на търговията между държавите-членки по смисъла на член 82 ЕО</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52.      Прилагането на член 82 ЕО по отношение на сдружение като ELPA предполага освен качеството на предприятие, което обсъдих по-горе, това сдружение да има и господстващо положение на пазара и да е налице възможност да се засегне търговията между държавите-членки.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53.      Макар че е извън компетентността на Съда да оценява фактическа обстановка по главния спор, все пак с оглед на особеностите на тази фактическа обстановка той може да даде на препращащата юрисдикция всички полезни указания, които биха я улеснили при решаването на главния спор. В това отношение следва да се подчертае следното:</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а) Определяне на съответните пазари, съществена част от общия пазар</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54.      Проверката за наличието на господстващо положение на пазара на първо място изисква да се определят границите на съответните пазари.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55.      Що се отнася до съответните продуктови пазари, следва да се припомни, че ELPA предоставя услуги в областта на мотоциклетния спорт в два аспекта: от една страна, с помощта на ETHEAM ELPA </w:t>
      </w:r>
      <w:r w:rsidRPr="00014163">
        <w:rPr>
          <w:rFonts w:asciiTheme="majorHAnsi" w:eastAsia="Times New Roman" w:hAnsiTheme="majorHAnsi" w:cs="Times New Roman"/>
          <w:i/>
          <w:iCs/>
          <w:sz w:val="24"/>
          <w:szCs w:val="24"/>
        </w:rPr>
        <w:t>организира</w:t>
      </w:r>
      <w:r w:rsidRPr="00014163">
        <w:rPr>
          <w:rFonts w:asciiTheme="majorHAnsi" w:eastAsia="Times New Roman" w:hAnsiTheme="majorHAnsi" w:cs="Times New Roman"/>
          <w:sz w:val="24"/>
          <w:szCs w:val="24"/>
        </w:rPr>
        <w:t> мотоциклетни състезания в Гърция. От друга страна, по данни на препращащата юрисдикция ELPA </w:t>
      </w:r>
      <w:r w:rsidRPr="00014163">
        <w:rPr>
          <w:rFonts w:asciiTheme="majorHAnsi" w:eastAsia="Times New Roman" w:hAnsiTheme="majorHAnsi" w:cs="Times New Roman"/>
          <w:i/>
          <w:iCs/>
          <w:sz w:val="24"/>
          <w:szCs w:val="24"/>
        </w:rPr>
        <w:t>реализира</w:t>
      </w:r>
      <w:r w:rsidRPr="00014163">
        <w:rPr>
          <w:rFonts w:asciiTheme="majorHAnsi" w:eastAsia="Times New Roman" w:hAnsiTheme="majorHAnsi" w:cs="Times New Roman"/>
          <w:sz w:val="24"/>
          <w:szCs w:val="24"/>
        </w:rPr>
        <w:t> тези мотоциклетни състезания </w:t>
      </w:r>
      <w:r w:rsidRPr="00014163">
        <w:rPr>
          <w:rFonts w:asciiTheme="majorHAnsi" w:eastAsia="Times New Roman" w:hAnsiTheme="majorHAnsi" w:cs="Times New Roman"/>
          <w:i/>
          <w:iCs/>
          <w:sz w:val="24"/>
          <w:szCs w:val="24"/>
        </w:rPr>
        <w:t>на пазара </w:t>
      </w:r>
      <w:r w:rsidRPr="00014163">
        <w:rPr>
          <w:rFonts w:asciiTheme="majorHAnsi" w:eastAsia="Times New Roman" w:hAnsiTheme="majorHAnsi" w:cs="Times New Roman"/>
          <w:sz w:val="24"/>
          <w:szCs w:val="24"/>
        </w:rPr>
        <w:t xml:space="preserve">чрез сключване на договори за спонсорство, реклама и застраховка. </w:t>
      </w:r>
      <w:proofErr w:type="gramStart"/>
      <w:r w:rsidRPr="00014163">
        <w:rPr>
          <w:rFonts w:asciiTheme="majorHAnsi" w:eastAsia="Times New Roman" w:hAnsiTheme="majorHAnsi" w:cs="Times New Roman"/>
          <w:sz w:val="24"/>
          <w:szCs w:val="24"/>
        </w:rPr>
        <w:t>Между двата вида услуги не съществува задължителна връзка и те не са взаимозаменяеми.</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 xml:space="preserve">Поради това </w:t>
      </w:r>
      <w:r w:rsidRPr="00014163">
        <w:rPr>
          <w:rFonts w:asciiTheme="majorHAnsi" w:eastAsia="Times New Roman" w:hAnsiTheme="majorHAnsi" w:cs="Times New Roman"/>
          <w:sz w:val="24"/>
          <w:szCs w:val="24"/>
        </w:rPr>
        <w:lastRenderedPageBreak/>
        <w:t>организирането и пазарната реализация на спортни състезания следва да се разглеждат като два отделни съответни продуктови пазара.</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56.      Препращащата юрисдикция обаче трябва да проучи дали съответните пазари се ограничават само до организирането, съответно до пазарната реализация на </w:t>
      </w:r>
      <w:r w:rsidRPr="00014163">
        <w:rPr>
          <w:rFonts w:asciiTheme="majorHAnsi" w:eastAsia="Times New Roman" w:hAnsiTheme="majorHAnsi" w:cs="Times New Roman"/>
          <w:i/>
          <w:iCs/>
          <w:sz w:val="24"/>
          <w:szCs w:val="24"/>
        </w:rPr>
        <w:t>мотоциклетни състезания</w:t>
      </w:r>
      <w:proofErr w:type="gramStart"/>
      <w:r w:rsidRPr="00014163">
        <w:rPr>
          <w:rFonts w:asciiTheme="majorHAnsi" w:eastAsia="Times New Roman" w:hAnsiTheme="majorHAnsi" w:cs="Times New Roman"/>
          <w:i/>
          <w:iCs/>
          <w:sz w:val="24"/>
          <w:szCs w:val="24"/>
        </w:rPr>
        <w:t>,</w:t>
      </w:r>
      <w:r w:rsidRPr="00014163">
        <w:rPr>
          <w:rFonts w:asciiTheme="majorHAnsi" w:eastAsia="Times New Roman" w:hAnsiTheme="majorHAnsi" w:cs="Times New Roman"/>
          <w:sz w:val="24"/>
          <w:szCs w:val="24"/>
        </w:rPr>
        <w:t>или</w:t>
      </w:r>
      <w:proofErr w:type="gramEnd"/>
      <w:r w:rsidRPr="00014163">
        <w:rPr>
          <w:rFonts w:asciiTheme="majorHAnsi" w:eastAsia="Times New Roman" w:hAnsiTheme="majorHAnsi" w:cs="Times New Roman"/>
          <w:sz w:val="24"/>
          <w:szCs w:val="24"/>
        </w:rPr>
        <w:t xml:space="preserve"> обхващат и други състезания по моторни спортове или евентуално и всякакви спортни състезания.</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57.      Следва да се отбележи, че в географски аспект ELPA предоставя разглежданите услуги в рамките на Гърция. Територията на тази държава-членка представлява съответния географски пазар и освен това може да се счита и за съществена част от общия пазар(</w:t>
      </w:r>
      <w:bookmarkStart w:id="39" w:name="Footref40"/>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"Footnote40"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40</w:t>
      </w:r>
      <w:r w:rsidR="008D746D" w:rsidRPr="00014163">
        <w:rPr>
          <w:rFonts w:asciiTheme="majorHAnsi" w:eastAsia="Times New Roman" w:hAnsiTheme="majorHAnsi" w:cs="Times New Roman"/>
          <w:sz w:val="24"/>
          <w:szCs w:val="24"/>
        </w:rPr>
        <w:fldChar w:fldCharType="end"/>
      </w:r>
      <w:bookmarkEnd w:id="39"/>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б) Господстващо положение на пазара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58.      Господстващо положение е налице, когато икономическата мощ на предприятието му позволява да препятства поддържането на ефективна конкуренция на съответния пазар, като му дава възможност в значителна степен да действа независимо спрямо своите конкуренти, своите клиенти, а в крайна сметка — и спрямо потребителите(</w:t>
      </w:r>
      <w:bookmarkStart w:id="40" w:name="Footref41"/>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"Footnote41"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41</w:t>
      </w:r>
      <w:r w:rsidR="008D746D" w:rsidRPr="00014163">
        <w:rPr>
          <w:rFonts w:asciiTheme="majorHAnsi" w:eastAsia="Times New Roman" w:hAnsiTheme="majorHAnsi" w:cs="Times New Roman"/>
          <w:sz w:val="24"/>
          <w:szCs w:val="24"/>
        </w:rPr>
        <w:fldChar w:fldCharType="end"/>
      </w:r>
      <w:bookmarkEnd w:id="40"/>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59.      Ако се окаже, че ELPA [съ</w:t>
      </w:r>
      <w:proofErr w:type="gramStart"/>
      <w:r w:rsidRPr="00014163">
        <w:rPr>
          <w:rFonts w:asciiTheme="majorHAnsi" w:eastAsia="Times New Roman" w:hAnsiTheme="majorHAnsi" w:cs="Times New Roman"/>
          <w:sz w:val="24"/>
          <w:szCs w:val="24"/>
        </w:rPr>
        <w:t>]организира</w:t>
      </w:r>
      <w:proofErr w:type="gramEnd"/>
      <w:r w:rsidRPr="00014163">
        <w:rPr>
          <w:rFonts w:asciiTheme="majorHAnsi" w:eastAsia="Times New Roman" w:hAnsiTheme="majorHAnsi" w:cs="Times New Roman"/>
          <w:sz w:val="24"/>
          <w:szCs w:val="24"/>
        </w:rPr>
        <w:t xml:space="preserve"> всички или поне повечето от мотоциклетните състезания в Гърция — което препращащата юрисдикция следва да установи — би могло да се приеме, че ELPA има господстващо положение. </w:t>
      </w:r>
      <w:proofErr w:type="gramStart"/>
      <w:r w:rsidRPr="00014163">
        <w:rPr>
          <w:rFonts w:asciiTheme="majorHAnsi" w:eastAsia="Times New Roman" w:hAnsiTheme="majorHAnsi" w:cs="Times New Roman"/>
          <w:sz w:val="24"/>
          <w:szCs w:val="24"/>
        </w:rPr>
        <w:t>Същото важи за пазарната реализация на такива мотоциклетни състезания.</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60.      Всичко това обаче предполага съответният продуктов пазар да се ограничава само до </w:t>
      </w:r>
      <w:r w:rsidRPr="00014163">
        <w:rPr>
          <w:rFonts w:asciiTheme="majorHAnsi" w:eastAsia="Times New Roman" w:hAnsiTheme="majorHAnsi" w:cs="Times New Roman"/>
          <w:i/>
          <w:iCs/>
          <w:sz w:val="24"/>
          <w:szCs w:val="24"/>
        </w:rPr>
        <w:t>мотоциклетните състезания</w:t>
      </w:r>
      <w:r w:rsidRPr="00014163">
        <w:rPr>
          <w:rFonts w:asciiTheme="majorHAnsi" w:eastAsia="Times New Roman" w:hAnsiTheme="majorHAnsi" w:cs="Times New Roman"/>
          <w:sz w:val="24"/>
          <w:szCs w:val="24"/>
        </w:rPr>
        <w:t xml:space="preserve">, без да обхваща организацията, съответно пазарната реализация на други спортни </w:t>
      </w:r>
      <w:proofErr w:type="gramStart"/>
      <w:r w:rsidRPr="00014163">
        <w:rPr>
          <w:rFonts w:asciiTheme="majorHAnsi" w:eastAsia="Times New Roman" w:hAnsiTheme="majorHAnsi" w:cs="Times New Roman"/>
          <w:sz w:val="24"/>
          <w:szCs w:val="24"/>
        </w:rPr>
        <w:t>състезания(</w:t>
      </w:r>
      <w:bookmarkStart w:id="41" w:name="Footref42"/>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"Footnote42"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42</w:t>
      </w:r>
      <w:r w:rsidR="008D746D" w:rsidRPr="00014163">
        <w:rPr>
          <w:rFonts w:asciiTheme="majorHAnsi" w:eastAsia="Times New Roman" w:hAnsiTheme="majorHAnsi" w:cs="Times New Roman"/>
          <w:sz w:val="24"/>
          <w:szCs w:val="24"/>
        </w:rPr>
        <w:fldChar w:fldCharType="end"/>
      </w:r>
      <w:bookmarkEnd w:id="41"/>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Колкото повече различни спортни състезания обхващат съответните продуктови пазари, толкова по-малко вероятно е на тях ELPA да има господстващо положение.</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61.      За целите на по-нататъшния анализ ще приема, че ELPA има господстващо положение и на двата съответни пазара.</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в) Засягане на търговията между държавите-членки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62.      Член 82 ЕО забранява злоупотребата с господстващо положение само „доколкото тя може да повлияе върху търговията между държавите-членки“. </w:t>
      </w:r>
      <w:proofErr w:type="gramStart"/>
      <w:r w:rsidRPr="00014163">
        <w:rPr>
          <w:rFonts w:asciiTheme="majorHAnsi" w:eastAsia="Times New Roman" w:hAnsiTheme="majorHAnsi" w:cs="Times New Roman"/>
          <w:sz w:val="24"/>
          <w:szCs w:val="24"/>
        </w:rPr>
        <w:t>Тази т.нар.</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i/>
          <w:iCs/>
          <w:sz w:val="24"/>
          <w:szCs w:val="24"/>
        </w:rPr>
        <w:t>клауза</w:t>
      </w:r>
      <w:proofErr w:type="gramEnd"/>
      <w:r w:rsidRPr="00014163">
        <w:rPr>
          <w:rFonts w:asciiTheme="majorHAnsi" w:eastAsia="Times New Roman" w:hAnsiTheme="majorHAnsi" w:cs="Times New Roman"/>
          <w:i/>
          <w:iCs/>
          <w:sz w:val="24"/>
          <w:szCs w:val="24"/>
        </w:rPr>
        <w:t xml:space="preserve"> за междудържавност</w:t>
      </w:r>
      <w:r w:rsidRPr="00014163">
        <w:rPr>
          <w:rFonts w:asciiTheme="majorHAnsi" w:eastAsia="Times New Roman" w:hAnsiTheme="majorHAnsi" w:cs="Times New Roman"/>
          <w:sz w:val="24"/>
          <w:szCs w:val="24"/>
        </w:rPr>
        <w:t>“ служи за разграничаване на приложните полета на националното и общностното право в областта на конкуренцията(</w:t>
      </w:r>
      <w:bookmarkStart w:id="42" w:name="Footref43"/>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"Footnote43"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43</w:t>
      </w:r>
      <w:r w:rsidR="008D746D" w:rsidRPr="00014163">
        <w:rPr>
          <w:rFonts w:asciiTheme="majorHAnsi" w:eastAsia="Times New Roman" w:hAnsiTheme="majorHAnsi" w:cs="Times New Roman"/>
          <w:sz w:val="24"/>
          <w:szCs w:val="24"/>
        </w:rPr>
        <w:fldChar w:fldCharType="end"/>
      </w:r>
      <w:bookmarkEnd w:id="42"/>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63.      За засягане на търговията между държавите-членки може да се говори само ако въз основа на всички обективни правни и фактически обстоятелства е възможно с достатъчна степен на вероятност да се предвиди, че въпросното поведение може да упражни пряко или непряко, действително или </w:t>
      </w:r>
      <w:r w:rsidRPr="00014163">
        <w:rPr>
          <w:rFonts w:asciiTheme="majorHAnsi" w:eastAsia="Times New Roman" w:hAnsiTheme="majorHAnsi" w:cs="Times New Roman"/>
          <w:sz w:val="24"/>
          <w:szCs w:val="24"/>
        </w:rPr>
        <w:lastRenderedPageBreak/>
        <w:t>потенциално въздействие върху модела на търговията между държавите-членки, и то по начин, който поражда опасения, че се възпрепятства осъществяването на единния пазар между държавите-членки(</w:t>
      </w:r>
      <w:bookmarkStart w:id="43" w:name="Footref44"/>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"Footnote44"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44</w:t>
      </w:r>
      <w:r w:rsidR="008D746D" w:rsidRPr="00014163">
        <w:rPr>
          <w:rFonts w:asciiTheme="majorHAnsi" w:eastAsia="Times New Roman" w:hAnsiTheme="majorHAnsi" w:cs="Times New Roman"/>
          <w:sz w:val="24"/>
          <w:szCs w:val="24"/>
        </w:rPr>
        <w:fldChar w:fldCharType="end"/>
      </w:r>
      <w:bookmarkEnd w:id="43"/>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64.      В този случай е достатъчно поведението на предприятието с господстващо положение </w:t>
      </w:r>
      <w:r w:rsidRPr="00014163">
        <w:rPr>
          <w:rFonts w:asciiTheme="majorHAnsi" w:eastAsia="Times New Roman" w:hAnsiTheme="majorHAnsi" w:cs="Times New Roman"/>
          <w:i/>
          <w:iCs/>
          <w:sz w:val="24"/>
          <w:szCs w:val="24"/>
        </w:rPr>
        <w:t>да може</w:t>
      </w:r>
      <w:r w:rsidRPr="00014163">
        <w:rPr>
          <w:rFonts w:asciiTheme="majorHAnsi" w:eastAsia="Times New Roman" w:hAnsiTheme="majorHAnsi" w:cs="Times New Roman"/>
          <w:sz w:val="24"/>
          <w:szCs w:val="24"/>
        </w:rPr>
        <w:t> да засегне търговията между държавите-членки(</w:t>
      </w:r>
      <w:bookmarkStart w:id="44" w:name="Footref45"/>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"Footnote45"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45</w:t>
      </w:r>
      <w:r w:rsidR="008D746D" w:rsidRPr="00014163">
        <w:rPr>
          <w:rFonts w:asciiTheme="majorHAnsi" w:eastAsia="Times New Roman" w:hAnsiTheme="majorHAnsi" w:cs="Times New Roman"/>
          <w:sz w:val="24"/>
          <w:szCs w:val="24"/>
        </w:rPr>
        <w:fldChar w:fldCharType="end"/>
      </w:r>
      <w:bookmarkEnd w:id="44"/>
      <w:r w:rsidRPr="00014163">
        <w:rPr>
          <w:rFonts w:asciiTheme="majorHAnsi" w:eastAsia="Times New Roman" w:hAnsiTheme="majorHAnsi" w:cs="Times New Roman"/>
          <w:sz w:val="24"/>
          <w:szCs w:val="24"/>
        </w:rPr>
        <w:t>), като чисто хипотетичните или теоретични въздействия обаче не са достатъчни, за да бъде обоснована приложимостта на член 82 ЕО(</w:t>
      </w:r>
      <w:bookmarkStart w:id="45" w:name="Footref46"/>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"Footnote46"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46</w:t>
      </w:r>
      <w:r w:rsidR="008D746D" w:rsidRPr="00014163">
        <w:rPr>
          <w:rFonts w:asciiTheme="majorHAnsi" w:eastAsia="Times New Roman" w:hAnsiTheme="majorHAnsi" w:cs="Times New Roman"/>
          <w:sz w:val="24"/>
          <w:szCs w:val="24"/>
        </w:rPr>
        <w:fldChar w:fldCharType="end"/>
      </w:r>
      <w:bookmarkEnd w:id="45"/>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65.      Препращащата юрисдикция следва да направи необходимите в това отношение констатации при съблюдаване на указанията на </w:t>
      </w:r>
      <w:proofErr w:type="gramStart"/>
      <w:r w:rsidRPr="00014163">
        <w:rPr>
          <w:rFonts w:asciiTheme="majorHAnsi" w:eastAsia="Times New Roman" w:hAnsiTheme="majorHAnsi" w:cs="Times New Roman"/>
          <w:sz w:val="24"/>
          <w:szCs w:val="24"/>
        </w:rPr>
        <w:t>Съда(</w:t>
      </w:r>
      <w:bookmarkStart w:id="46" w:name="Footref47"/>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"Footnote47"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47</w:t>
      </w:r>
      <w:r w:rsidR="008D746D" w:rsidRPr="00014163">
        <w:rPr>
          <w:rFonts w:asciiTheme="majorHAnsi" w:eastAsia="Times New Roman" w:hAnsiTheme="majorHAnsi" w:cs="Times New Roman"/>
          <w:sz w:val="24"/>
          <w:szCs w:val="24"/>
        </w:rPr>
        <w:fldChar w:fldCharType="end"/>
      </w:r>
      <w:bookmarkEnd w:id="46"/>
      <w:r w:rsidRPr="00014163">
        <w:rPr>
          <w:rFonts w:asciiTheme="majorHAnsi" w:eastAsia="Times New Roman" w:hAnsiTheme="majorHAnsi" w:cs="Times New Roman"/>
          <w:sz w:val="24"/>
          <w:szCs w:val="24"/>
        </w:rPr>
        <w:t>), като вземе предвид по-специално три обстоятелства.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66.      На първо място, както посочва Комисията, трябва да бъде отбелязана интернационализацията на спорта като икономически отрасъл. </w:t>
      </w:r>
      <w:proofErr w:type="gramStart"/>
      <w:r w:rsidRPr="00014163">
        <w:rPr>
          <w:rFonts w:asciiTheme="majorHAnsi" w:eastAsia="Times New Roman" w:hAnsiTheme="majorHAnsi" w:cs="Times New Roman"/>
          <w:sz w:val="24"/>
          <w:szCs w:val="24"/>
        </w:rPr>
        <w:t>Поради това не е поначало изключено чуждестранни предприятия да имат интерес да навлязат на гръцкия пазар, за да организират там мотоциклетни състезания и да ги реализират на този пазар.</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67.      На второ място, трябва да се вземе предвид, че въз основа на правото си да участва при издаването на административни разрешения за мотоциклетни състезания (член 49 от Закона за движение по пътищата), сдружение като ELPA разполага с възможността ефикасно да осуети навлизането на други оператори на гръцкия пазар. Фактът, че на MOTOE като местен конкурент не е било издадено разрешение да организира планираните си за 2000 г. мотоциклетни състезания поради липса на положително становище от ELPA, може да има възпиращо въздействие и за чуждестранните оператори.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68.      На трето място, в своите вътрешни правила ELPA предвижда, че търговската реклама при мотоциклетни състезания може да се извършва само при положително становище от негова страна, съответно от страна на овластения от него комитет ETHEAM(</w:t>
      </w:r>
      <w:bookmarkStart w:id="47" w:name="Footref48"/>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"Footnote48"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48</w:t>
      </w:r>
      <w:r w:rsidR="008D746D" w:rsidRPr="00014163">
        <w:rPr>
          <w:rFonts w:asciiTheme="majorHAnsi" w:eastAsia="Times New Roman" w:hAnsiTheme="majorHAnsi" w:cs="Times New Roman"/>
          <w:sz w:val="24"/>
          <w:szCs w:val="24"/>
        </w:rPr>
        <w:fldChar w:fldCharType="end"/>
      </w:r>
      <w:bookmarkEnd w:id="47"/>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Това затрудняване на пазарната реализация на мотоциклетните състезания също може да има възпиращо въздействие за намеренията на чуждестранните оператори да навлязат на гръцкия пазар.</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Освен това по този начин може чуждестранните спонсори, рекламодатели и застрахователи да се откажат от участие на пазара на гръцкия мотоциклетен спорт.</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69.      Като цяло при тези условия не е изключено евентуална злоупотреба на ELPA във връзка с разрешаването на мотоциклетните състезания на други оператори или във връзка с пазарната им реализация да може да доведе до засягане на търговията между държавите-членки.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70.      Гръцкото правителство възразява, че предвид ограничения брой на организираните в Гърция мотоциклетни състезания с международно участие възможните въздействия на поведението на ELPA, което евентуално нарушава конкуренцията, щели да бъдат съвсем незначителни по отношение на търговията между държавите-членки.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t>71.      Вярно е, че за прилагането на член 82 ЕО, както и на член 81 ЕО, е необходимо да е налице </w:t>
      </w:r>
      <w:r w:rsidRPr="00014163">
        <w:rPr>
          <w:rFonts w:asciiTheme="majorHAnsi" w:eastAsia="Times New Roman" w:hAnsiTheme="majorHAnsi" w:cs="Times New Roman"/>
          <w:i/>
          <w:iCs/>
          <w:sz w:val="24"/>
          <w:szCs w:val="24"/>
        </w:rPr>
        <w:t>значително</w:t>
      </w:r>
      <w:r w:rsidRPr="00014163">
        <w:rPr>
          <w:rFonts w:asciiTheme="majorHAnsi" w:eastAsia="Times New Roman" w:hAnsiTheme="majorHAnsi" w:cs="Times New Roman"/>
          <w:sz w:val="24"/>
          <w:szCs w:val="24"/>
        </w:rPr>
        <w:t> засягане на търговията между държавите-членки; с други думи, засягането не трябва да е </w:t>
      </w:r>
      <w:r w:rsidRPr="00014163">
        <w:rPr>
          <w:rFonts w:asciiTheme="majorHAnsi" w:eastAsia="Times New Roman" w:hAnsiTheme="majorHAnsi" w:cs="Times New Roman"/>
          <w:i/>
          <w:iCs/>
          <w:sz w:val="24"/>
          <w:szCs w:val="24"/>
        </w:rPr>
        <w:t>само незначително</w:t>
      </w:r>
      <w:r w:rsidRPr="00014163">
        <w:rPr>
          <w:rFonts w:asciiTheme="majorHAnsi" w:eastAsia="Times New Roman" w:hAnsiTheme="majorHAnsi" w:cs="Times New Roman"/>
          <w:sz w:val="24"/>
          <w:szCs w:val="24"/>
        </w:rPr>
        <w:t>(</w:t>
      </w:r>
      <w:bookmarkStart w:id="48" w:name="Footref49"/>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"Footnote49"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49</w:t>
      </w:r>
      <w:r w:rsidR="008D746D" w:rsidRPr="00014163">
        <w:rPr>
          <w:rFonts w:asciiTheme="majorHAnsi" w:eastAsia="Times New Roman" w:hAnsiTheme="majorHAnsi" w:cs="Times New Roman"/>
          <w:sz w:val="24"/>
          <w:szCs w:val="24"/>
        </w:rPr>
        <w:fldChar w:fldCharType="end"/>
      </w:r>
      <w:bookmarkEnd w:id="48"/>
      <w:r w:rsidRPr="00014163">
        <w:rPr>
          <w:rFonts w:asciiTheme="majorHAnsi" w:eastAsia="Times New Roman" w:hAnsiTheme="majorHAnsi" w:cs="Times New Roman"/>
          <w:sz w:val="24"/>
          <w:szCs w:val="24"/>
        </w:rPr>
        <w:t>). Все пак преценката дали засягането е значително или незначително зависи не само от количествени, но и от качествени фактори; тя не може да се свежда само до един-единствен аспект като например мащабите на пазара, а напротив, меродавни са множество фактори, всеки от които, разгледан отделно, може и да не е определящ(</w:t>
      </w:r>
      <w:bookmarkStart w:id="49" w:name="Footref50"/>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"Footnote50"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50</w:t>
      </w:r>
      <w:r w:rsidR="008D746D" w:rsidRPr="00014163">
        <w:rPr>
          <w:rFonts w:asciiTheme="majorHAnsi" w:eastAsia="Times New Roman" w:hAnsiTheme="majorHAnsi" w:cs="Times New Roman"/>
          <w:sz w:val="24"/>
          <w:szCs w:val="24"/>
        </w:rPr>
        <w:fldChar w:fldCharType="end"/>
      </w:r>
      <w:bookmarkEnd w:id="49"/>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72.      В </w:t>
      </w:r>
      <w:r w:rsidRPr="00014163">
        <w:rPr>
          <w:rFonts w:asciiTheme="majorHAnsi" w:eastAsia="Times New Roman" w:hAnsiTheme="majorHAnsi" w:cs="Times New Roman"/>
          <w:i/>
          <w:iCs/>
          <w:sz w:val="24"/>
          <w:szCs w:val="24"/>
        </w:rPr>
        <w:t>количествен аспект</w:t>
      </w:r>
      <w:r w:rsidRPr="00014163">
        <w:rPr>
          <w:rFonts w:asciiTheme="majorHAnsi" w:eastAsia="Times New Roman" w:hAnsiTheme="majorHAnsi" w:cs="Times New Roman"/>
          <w:sz w:val="24"/>
          <w:szCs w:val="24"/>
        </w:rPr>
        <w:t xml:space="preserve"> не е достатъчно да се разглежда само общият обем на съответния продуктов и географски пазар. Този общ обем може наистина да има известно значение за въпроса дали е засегната съществена част от общия </w:t>
      </w:r>
      <w:proofErr w:type="gramStart"/>
      <w:r w:rsidRPr="00014163">
        <w:rPr>
          <w:rFonts w:asciiTheme="majorHAnsi" w:eastAsia="Times New Roman" w:hAnsiTheme="majorHAnsi" w:cs="Times New Roman"/>
          <w:sz w:val="24"/>
          <w:szCs w:val="24"/>
        </w:rPr>
        <w:t>пазар(</w:t>
      </w:r>
      <w:bookmarkStart w:id="50" w:name="Footref51"/>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"Footnote51"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51</w:t>
      </w:r>
      <w:r w:rsidR="008D746D" w:rsidRPr="00014163">
        <w:rPr>
          <w:rFonts w:asciiTheme="majorHAnsi" w:eastAsia="Times New Roman" w:hAnsiTheme="majorHAnsi" w:cs="Times New Roman"/>
          <w:sz w:val="24"/>
          <w:szCs w:val="24"/>
        </w:rPr>
        <w:fldChar w:fldCharType="end"/>
      </w:r>
      <w:bookmarkEnd w:id="50"/>
      <w:r w:rsidRPr="00014163">
        <w:rPr>
          <w:rFonts w:asciiTheme="majorHAnsi" w:eastAsia="Times New Roman" w:hAnsiTheme="majorHAnsi" w:cs="Times New Roman"/>
          <w:sz w:val="24"/>
          <w:szCs w:val="24"/>
        </w:rPr>
        <w:t>). При преценката дали евентуалното засягане на търговията между държавите-членки е значително все пак трябва допълнително да бъде взет предвид и обемът на </w:t>
      </w:r>
      <w:r w:rsidRPr="00014163">
        <w:rPr>
          <w:rFonts w:asciiTheme="majorHAnsi" w:eastAsia="Times New Roman" w:hAnsiTheme="majorHAnsi" w:cs="Times New Roman"/>
          <w:i/>
          <w:iCs/>
          <w:sz w:val="24"/>
          <w:szCs w:val="24"/>
        </w:rPr>
        <w:t>засегнатите</w:t>
      </w:r>
      <w:r w:rsidRPr="00014163">
        <w:rPr>
          <w:rFonts w:asciiTheme="majorHAnsi" w:eastAsia="Times New Roman" w:hAnsiTheme="majorHAnsi" w:cs="Times New Roman"/>
          <w:sz w:val="24"/>
          <w:szCs w:val="24"/>
        </w:rPr>
        <w:t> от твърдяната злоупотреба продукти и услуги, като след това този обем трябва да бъде съотнесен към общия обем на съответния продуктов и географски пазар(</w:t>
      </w:r>
      <w:bookmarkStart w:id="51" w:name="Footref52"/>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"Footnote52"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52</w:t>
      </w:r>
      <w:r w:rsidR="008D746D" w:rsidRPr="00014163">
        <w:rPr>
          <w:rFonts w:asciiTheme="majorHAnsi" w:eastAsia="Times New Roman" w:hAnsiTheme="majorHAnsi" w:cs="Times New Roman"/>
          <w:sz w:val="24"/>
          <w:szCs w:val="24"/>
        </w:rPr>
        <w:fldChar w:fldCharType="end"/>
      </w:r>
      <w:bookmarkEnd w:id="51"/>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73.      Ако в Гърция се организират сравнително малко на брой международни мотоциклетни състезания — както изтъква гръцкото правителство, то възпрепятстването на организацията или пазарната реализация на едно или няколко допълнителни мотоциклетни състезания в съотношение към общия обем на този пазар може вече да даде значително отражение. </w:t>
      </w:r>
      <w:proofErr w:type="gramStart"/>
      <w:r w:rsidRPr="00014163">
        <w:rPr>
          <w:rFonts w:asciiTheme="majorHAnsi" w:eastAsia="Times New Roman" w:hAnsiTheme="majorHAnsi" w:cs="Times New Roman"/>
          <w:sz w:val="24"/>
          <w:szCs w:val="24"/>
        </w:rPr>
        <w:t>По този начин в крайна сметка може да бъде затруднено развитието на един по-голям пазар с по-голям потенциал за реализиране на приходи.</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74.      В </w:t>
      </w:r>
      <w:r w:rsidRPr="00014163">
        <w:rPr>
          <w:rFonts w:asciiTheme="majorHAnsi" w:eastAsia="Times New Roman" w:hAnsiTheme="majorHAnsi" w:cs="Times New Roman"/>
          <w:i/>
          <w:iCs/>
          <w:sz w:val="24"/>
          <w:szCs w:val="24"/>
        </w:rPr>
        <w:t>качествен аспект</w:t>
      </w:r>
      <w:r w:rsidRPr="00014163">
        <w:rPr>
          <w:rFonts w:asciiTheme="majorHAnsi" w:eastAsia="Times New Roman" w:hAnsiTheme="majorHAnsi" w:cs="Times New Roman"/>
          <w:sz w:val="24"/>
          <w:szCs w:val="24"/>
        </w:rPr>
        <w:t xml:space="preserve"> преценката на значителността зависи не на последно място и от поведението на предприятието с господстващо </w:t>
      </w:r>
      <w:proofErr w:type="gramStart"/>
      <w:r w:rsidRPr="00014163">
        <w:rPr>
          <w:rFonts w:asciiTheme="majorHAnsi" w:eastAsia="Times New Roman" w:hAnsiTheme="majorHAnsi" w:cs="Times New Roman"/>
          <w:sz w:val="24"/>
          <w:szCs w:val="24"/>
        </w:rPr>
        <w:t>положение(</w:t>
      </w:r>
      <w:bookmarkStart w:id="52" w:name="Footref53"/>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"Footnote53"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53</w:t>
      </w:r>
      <w:r w:rsidR="008D746D" w:rsidRPr="00014163">
        <w:rPr>
          <w:rFonts w:asciiTheme="majorHAnsi" w:eastAsia="Times New Roman" w:hAnsiTheme="majorHAnsi" w:cs="Times New Roman"/>
          <w:sz w:val="24"/>
          <w:szCs w:val="24"/>
        </w:rPr>
        <w:fldChar w:fldCharType="end"/>
      </w:r>
      <w:bookmarkEnd w:id="52"/>
      <w:r w:rsidRPr="00014163">
        <w:rPr>
          <w:rFonts w:asciiTheme="majorHAnsi" w:eastAsia="Times New Roman" w:hAnsiTheme="majorHAnsi" w:cs="Times New Roman"/>
          <w:sz w:val="24"/>
          <w:szCs w:val="24"/>
        </w:rPr>
        <w:t>). В приложното поле на член 82 ЕО попадат всички практики, които биха могли да застрашат свободната търговия между държавите-членки по начин, който би могъл да навреди на осъществяването на целите за единния пазар между държавите-членки, по-конкретно чрез ограничаване на достъпа до националните пазари или чрез изменяне на структурата на конкуренцията в общия пазар(</w:t>
      </w:r>
      <w:bookmarkStart w:id="53" w:name="Footref54"/>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"Footnote54"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54</w:t>
      </w:r>
      <w:r w:rsidR="008D746D" w:rsidRPr="00014163">
        <w:rPr>
          <w:rFonts w:asciiTheme="majorHAnsi" w:eastAsia="Times New Roman" w:hAnsiTheme="majorHAnsi" w:cs="Times New Roman"/>
          <w:sz w:val="24"/>
          <w:szCs w:val="24"/>
        </w:rPr>
        <w:fldChar w:fldCharType="end"/>
      </w:r>
      <w:bookmarkEnd w:id="53"/>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75.      Евентуална злоупотреба от страна на ELPA с правото на участие при издаването на административни разрешения във връзка с организацията и пазарната реализация на мотоциклетни състезания може да доведе до ограничаване на достъпа до пазарите и по този начин да осуети постигането на целта за изграждане на вътрешния пазар. Извън това, както Комисията основателно подчертава, самото наличие на господстващо положение на пазара, което обхваща цялата територия на държава-членка, може да затвърди ограничения достъп до пазарите на национално равнище, като възпрепятства икономическата интеграция, цел на Договора за ЕО(</w:t>
      </w:r>
      <w:bookmarkStart w:id="54" w:name="Footref55"/>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"Footnote55"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55</w:t>
      </w:r>
      <w:r w:rsidR="008D746D" w:rsidRPr="00014163">
        <w:rPr>
          <w:rFonts w:asciiTheme="majorHAnsi" w:eastAsia="Times New Roman" w:hAnsiTheme="majorHAnsi" w:cs="Times New Roman"/>
          <w:sz w:val="24"/>
          <w:szCs w:val="24"/>
        </w:rPr>
        <w:fldChar w:fldCharType="end"/>
      </w:r>
      <w:bookmarkEnd w:id="54"/>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76.      Ето защо както количествени, така и качествени аспекти обуславят значителността на засягането на търговията между държавите-членки.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t>3.      Специални или изключителни права (член 86, параграф 1 ЕО)</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77.      Предвид обстоятелството, че образувание като ELPA безспорно не е публично предприятие, а частноправно сдружение, член 86, параграф 1 ЕО се прилага само ако гръцката държава е предоставила на това сдружение специални или изключителни права.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78.      Характерното за такива специални или изключителни права е, че те създават особена връзка между съответния държавен орган и облагодетелстваното </w:t>
      </w:r>
      <w:proofErr w:type="gramStart"/>
      <w:r w:rsidRPr="00014163">
        <w:rPr>
          <w:rFonts w:asciiTheme="majorHAnsi" w:eastAsia="Times New Roman" w:hAnsiTheme="majorHAnsi" w:cs="Times New Roman"/>
          <w:sz w:val="24"/>
          <w:szCs w:val="24"/>
        </w:rPr>
        <w:t>предприятие(</w:t>
      </w:r>
      <w:bookmarkStart w:id="55" w:name="Footref56"/>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"Footnote56"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56</w:t>
      </w:r>
      <w:r w:rsidR="008D746D" w:rsidRPr="00014163">
        <w:rPr>
          <w:rFonts w:asciiTheme="majorHAnsi" w:eastAsia="Times New Roman" w:hAnsiTheme="majorHAnsi" w:cs="Times New Roman"/>
          <w:sz w:val="24"/>
          <w:szCs w:val="24"/>
        </w:rPr>
        <w:fldChar w:fldCharType="end"/>
      </w:r>
      <w:bookmarkEnd w:id="55"/>
      <w:r w:rsidRPr="00014163">
        <w:rPr>
          <w:rFonts w:asciiTheme="majorHAnsi" w:eastAsia="Times New Roman" w:hAnsiTheme="majorHAnsi" w:cs="Times New Roman"/>
          <w:sz w:val="24"/>
          <w:szCs w:val="24"/>
        </w:rPr>
        <w:t>) и поставят последното в привилегировано положение спрямо неговите конкуренти.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79.      С правната уредба по член 49 от Закона за движение по пътищата, която въвежда изискване за положително становище, гръцката държава предоставя на ELPA като официален представител в Гърция на Международната федерация по мотоциклетизъм (ФИМ) правото да участва при издаването на административни разрешения за мотоциклетни състезания и по този начин му позволява да участва при упражняването на властнически правомощия. </w:t>
      </w:r>
      <w:proofErr w:type="gramStart"/>
      <w:r w:rsidRPr="00014163">
        <w:rPr>
          <w:rFonts w:asciiTheme="majorHAnsi" w:eastAsia="Times New Roman" w:hAnsiTheme="majorHAnsi" w:cs="Times New Roman"/>
          <w:sz w:val="24"/>
          <w:szCs w:val="24"/>
        </w:rPr>
        <w:t>По този начин ELPA е предпочетено пред други възможни организатори на мотоциклетни състезания в Гърция. Следователно сдружението се ползва със </w:t>
      </w:r>
      <w:r w:rsidRPr="00014163">
        <w:rPr>
          <w:rFonts w:asciiTheme="majorHAnsi" w:eastAsia="Times New Roman" w:hAnsiTheme="majorHAnsi" w:cs="Times New Roman"/>
          <w:i/>
          <w:iCs/>
          <w:sz w:val="24"/>
          <w:szCs w:val="24"/>
        </w:rPr>
        <w:t>специално право</w:t>
      </w:r>
      <w:r w:rsidRPr="00014163">
        <w:rPr>
          <w:rFonts w:asciiTheme="majorHAnsi" w:eastAsia="Times New Roman" w:hAnsiTheme="majorHAnsi" w:cs="Times New Roman"/>
          <w:sz w:val="24"/>
          <w:szCs w:val="24"/>
        </w:rPr>
        <w:t>.</w:t>
      </w:r>
      <w:proofErr w:type="gramEnd"/>
      <w:r w:rsidRPr="00014163">
        <w:rPr>
          <w:rFonts w:asciiTheme="majorHAnsi" w:eastAsia="Times New Roman" w:hAnsiTheme="majorHAnsi" w:cs="Times New Roman"/>
          <w:sz w:val="24"/>
          <w:szCs w:val="24"/>
        </w:rPr>
        <w:t xml:space="preserve"> Тъй като съгласно член 49 от Закона за движение по пътищата само на ELPA е предоставено това право да участва при издаването на разрешения, може същевременно да се говори и за </w:t>
      </w:r>
      <w:r w:rsidRPr="00014163">
        <w:rPr>
          <w:rFonts w:asciiTheme="majorHAnsi" w:eastAsia="Times New Roman" w:hAnsiTheme="majorHAnsi" w:cs="Times New Roman"/>
          <w:i/>
          <w:iCs/>
          <w:sz w:val="24"/>
          <w:szCs w:val="24"/>
        </w:rPr>
        <w:t xml:space="preserve">изключително </w:t>
      </w:r>
      <w:proofErr w:type="gramStart"/>
      <w:r w:rsidRPr="00014163">
        <w:rPr>
          <w:rFonts w:asciiTheme="majorHAnsi" w:eastAsia="Times New Roman" w:hAnsiTheme="majorHAnsi" w:cs="Times New Roman"/>
          <w:i/>
          <w:iCs/>
          <w:sz w:val="24"/>
          <w:szCs w:val="24"/>
        </w:rPr>
        <w:t>право</w:t>
      </w:r>
      <w:r w:rsidRPr="00014163">
        <w:rPr>
          <w:rFonts w:asciiTheme="majorHAnsi" w:eastAsia="Times New Roman" w:hAnsiTheme="majorHAnsi" w:cs="Times New Roman"/>
          <w:sz w:val="24"/>
          <w:szCs w:val="24"/>
        </w:rPr>
        <w:t>(</w:t>
      </w:r>
      <w:bookmarkStart w:id="56" w:name="Footref57"/>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"Footnote57"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57</w:t>
      </w:r>
      <w:r w:rsidR="008D746D" w:rsidRPr="00014163">
        <w:rPr>
          <w:rFonts w:asciiTheme="majorHAnsi" w:eastAsia="Times New Roman" w:hAnsiTheme="majorHAnsi" w:cs="Times New Roman"/>
          <w:sz w:val="24"/>
          <w:szCs w:val="24"/>
        </w:rPr>
        <w:fldChar w:fldCharType="end"/>
      </w:r>
      <w:bookmarkEnd w:id="56"/>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80.      Следователно дейността на ELPA попада не само в приложното поле на член 82 ЕО, но и в това на член 86, параграф 1 ЕО.</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4.      Междинно заключение</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81.      В обобщение следва да се установи следното:</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Сдружение с нестопанска цел, което не само има изключителното право да участва при издаването на административни разрешения за мотоциклетни състезания, но и самò организира такива състезания и в тази връзка сключва договори за спонсорство, реклама и застраховка, се явява предприятие по смисъла на членове 82 ЕО и 86 ЕО.</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sz w:val="24"/>
          <w:szCs w:val="24"/>
        </w:rPr>
      </w:pPr>
      <w:proofErr w:type="gramStart"/>
      <w:r w:rsidRPr="00014163">
        <w:rPr>
          <w:rFonts w:asciiTheme="majorHAnsi" w:eastAsia="Times New Roman" w:hAnsiTheme="majorHAnsi" w:cs="Times New Roman"/>
          <w:sz w:val="24"/>
          <w:szCs w:val="24"/>
        </w:rPr>
        <w:t>Националната юрисдикция е компетентна при спазване на съдебната практика относно член 82 ЕО да провери дали това сдружение има господстващо положение на пазара и дали злоупотребата с това положение може да засегне значително търговията между държавите-членки.</w:t>
      </w:r>
      <w:proofErr w:type="gramEnd"/>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i/>
          <w:iCs/>
          <w:sz w:val="24"/>
          <w:szCs w:val="24"/>
        </w:rPr>
      </w:pPr>
      <w:r w:rsidRPr="00014163">
        <w:rPr>
          <w:rFonts w:asciiTheme="majorHAnsi" w:eastAsia="Times New Roman" w:hAnsiTheme="majorHAnsi" w:cs="Times New Roman"/>
          <w:i/>
          <w:iCs/>
          <w:sz w:val="24"/>
          <w:szCs w:val="24"/>
        </w:rPr>
        <w:t> В – Съвместимост на двойствената роля на ELPA с член 86, параграф 1 ЕО във връзка с член 82 ЕО (втори преюдициален въпрос)</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82.      Ако отговорът на първия преюдициален въпрос е, както предлагам, утвърдителен, трябва да бъде обсъден и вторият преюдициален въпрос. С него препращащата юрисдикция иска по същество да се установи дали членове 82 ЕО и 86 ЕО не допускат правна уредба като тази по член 49 от гръцкия Закон </w:t>
      </w:r>
      <w:r w:rsidRPr="00014163">
        <w:rPr>
          <w:rFonts w:asciiTheme="majorHAnsi" w:eastAsia="Times New Roman" w:hAnsiTheme="majorHAnsi" w:cs="Times New Roman"/>
          <w:sz w:val="24"/>
          <w:szCs w:val="24"/>
        </w:rPr>
        <w:lastRenderedPageBreak/>
        <w:t>за движението по пътищата, съгласно която на сдружение с нестопанска цел, което самò организира мотоциклетни състезания и ги реализира на пазара, същевременно се предоставя изключителното право на участие при издаването на административни разрешения за такива състезания, при което сдружението може да откаже да предостави положително становище, без в това отношение да подлежи на ограничения, задължения или контрол.</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83.      Така по същество споменатата вече двойствена роля на сдружение като ELPA трябва да се оцени с оглед на критериите на общностното право, и по-специално на член 86, параграф 1 ЕО във връзка с член 82 ЕО.</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1. Изискванията на член 86, параграф 1 ЕО във връзка с член 82 ЕО</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84.      Съгласно член 86, параграф 1 ЕО в случаите на предприятия, на които са предоставили специални или изключителни права, държавите-членки нямат право нито да приемат, нито да запазят съществуването на какъвто и да е акт, който противоречи на разпоредбите на правото на конкуренцията.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85.      Понятието „акт</w:t>
      </w:r>
      <w:proofErr w:type="gramStart"/>
      <w:r w:rsidRPr="00014163">
        <w:rPr>
          <w:rFonts w:asciiTheme="majorHAnsi" w:eastAsia="Times New Roman" w:hAnsiTheme="majorHAnsi" w:cs="Times New Roman"/>
          <w:sz w:val="24"/>
          <w:szCs w:val="24"/>
        </w:rPr>
        <w:t>“ в</w:t>
      </w:r>
      <w:proofErr w:type="gramEnd"/>
      <w:r w:rsidRPr="00014163">
        <w:rPr>
          <w:rFonts w:asciiTheme="majorHAnsi" w:eastAsia="Times New Roman" w:hAnsiTheme="majorHAnsi" w:cs="Times New Roman"/>
          <w:sz w:val="24"/>
          <w:szCs w:val="24"/>
        </w:rPr>
        <w:t xml:space="preserve"> този случай следва да се тълкува разширително. То се отнася и до правни норми като член 49 от гръцкия Закон за движението по </w:t>
      </w:r>
      <w:proofErr w:type="gramStart"/>
      <w:r w:rsidRPr="00014163">
        <w:rPr>
          <w:rFonts w:asciiTheme="majorHAnsi" w:eastAsia="Times New Roman" w:hAnsiTheme="majorHAnsi" w:cs="Times New Roman"/>
          <w:sz w:val="24"/>
          <w:szCs w:val="24"/>
        </w:rPr>
        <w:t>пътищата(</w:t>
      </w:r>
      <w:bookmarkStart w:id="57" w:name="Footref58"/>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"Footnote58"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58</w:t>
      </w:r>
      <w:r w:rsidR="008D746D" w:rsidRPr="00014163">
        <w:rPr>
          <w:rFonts w:asciiTheme="majorHAnsi" w:eastAsia="Times New Roman" w:hAnsiTheme="majorHAnsi" w:cs="Times New Roman"/>
          <w:sz w:val="24"/>
          <w:szCs w:val="24"/>
        </w:rPr>
        <w:fldChar w:fldCharType="end"/>
      </w:r>
      <w:bookmarkEnd w:id="57"/>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86.      С предвидената в него правна уредба, която въвежда изискване за положително становище, гръцката държава предоставя на ELPA като официален представител в Гърция на Международната федерация по мотоциклетизъм (ФИМ) изключителното право да участва при издаването на разрешения за мотоциклетни състезания.</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87.      Подобна правна уредба представлява нарушение на член 86, параграф 1 ЕО във връзка с член 82 ЕО, когато разглежданото предприятие при самото упражняване на предоставеното му изключително право злоупотребява с господстващото си положение или когато това право може да създаде положение, при коeто това предприятие да бъде принудено да извършва подобна злоупотреба(</w:t>
      </w:r>
      <w:bookmarkStart w:id="58" w:name="Footref59"/>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"Footnote59"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59</w:t>
      </w:r>
      <w:r w:rsidR="008D746D" w:rsidRPr="00014163">
        <w:rPr>
          <w:rFonts w:asciiTheme="majorHAnsi" w:eastAsia="Times New Roman" w:hAnsiTheme="majorHAnsi" w:cs="Times New Roman"/>
          <w:sz w:val="24"/>
          <w:szCs w:val="24"/>
        </w:rPr>
        <w:fldChar w:fldCharType="end"/>
      </w:r>
      <w:bookmarkEnd w:id="58"/>
      <w:r w:rsidRPr="00014163">
        <w:rPr>
          <w:rFonts w:asciiTheme="majorHAnsi" w:eastAsia="Times New Roman" w:hAnsiTheme="majorHAnsi" w:cs="Times New Roman"/>
          <w:sz w:val="24"/>
          <w:szCs w:val="24"/>
        </w:rPr>
        <w:t xml:space="preserve">). Без значение е дали действително се стига до такава </w:t>
      </w:r>
      <w:proofErr w:type="gramStart"/>
      <w:r w:rsidRPr="00014163">
        <w:rPr>
          <w:rFonts w:asciiTheme="majorHAnsi" w:eastAsia="Times New Roman" w:hAnsiTheme="majorHAnsi" w:cs="Times New Roman"/>
          <w:sz w:val="24"/>
          <w:szCs w:val="24"/>
        </w:rPr>
        <w:t>злоупотреба(</w:t>
      </w:r>
      <w:bookmarkStart w:id="59" w:name="Footref60"/>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"Footnote60"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60</w:t>
      </w:r>
      <w:r w:rsidR="008D746D" w:rsidRPr="00014163">
        <w:rPr>
          <w:rFonts w:asciiTheme="majorHAnsi" w:eastAsia="Times New Roman" w:hAnsiTheme="majorHAnsi" w:cs="Times New Roman"/>
          <w:sz w:val="24"/>
          <w:szCs w:val="24"/>
        </w:rPr>
        <w:fldChar w:fldCharType="end"/>
      </w:r>
      <w:bookmarkEnd w:id="59"/>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proofErr w:type="gramStart"/>
      <w:r w:rsidRPr="00014163">
        <w:rPr>
          <w:rFonts w:asciiTheme="majorHAnsi" w:eastAsia="Times New Roman" w:hAnsiTheme="majorHAnsi" w:cs="Times New Roman"/>
          <w:sz w:val="24"/>
          <w:szCs w:val="24"/>
        </w:rPr>
        <w:t>88.      Както ще покажа по-нататък, не всяко упражняване от страна на ELPA на правото на участие при издаването на разрешения за мотоциклетни състезания води непременно до злоупотреба с господстващото му положение, особено когато надлежно се отчитат обективни съображения като интересите на спорта (вж. буква а) по-нататък).</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Въпреки това правна уредба като член 49 от гръцкия Закон за движението по пътищата вследствие на конкретната си формулировка създава предпоставки за злоупотреби (вж. буква б) по-нататък).</w:t>
      </w:r>
      <w:proofErr w:type="gramEnd"/>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а) Не всяко упражняване на правото на участие при издаването на разрешения представлява злоупотреба </w:t>
      </w:r>
      <w:r w:rsidRPr="00014163">
        <w:rPr>
          <w:rFonts w:asciiTheme="majorHAnsi" w:eastAsia="Times New Roman" w:hAnsiTheme="majorHAnsi" w:cs="Times New Roman"/>
          <w:i/>
          <w:iCs/>
          <w:sz w:val="24"/>
          <w:szCs w:val="24"/>
        </w:rPr>
        <w:t>per se</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t xml:space="preserve">89.      Определено не всеки случай на упражняване от страна на ELPA на делегираното му право на участие при издаването на разрешения съгласно член 49 от гръцкия Закон за движението по пътищата може по принцип да бъде квалифициран като злоупотреба. Ако може да бъде обективно обосновано, поведението на предприятието с господстващо положение не представлява </w:t>
      </w:r>
      <w:proofErr w:type="gramStart"/>
      <w:r w:rsidRPr="00014163">
        <w:rPr>
          <w:rFonts w:asciiTheme="majorHAnsi" w:eastAsia="Times New Roman" w:hAnsiTheme="majorHAnsi" w:cs="Times New Roman"/>
          <w:sz w:val="24"/>
          <w:szCs w:val="24"/>
        </w:rPr>
        <w:t>злоупотреба(</w:t>
      </w:r>
      <w:bookmarkStart w:id="60" w:name="Footref61"/>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"Footnote61"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61</w:t>
      </w:r>
      <w:r w:rsidR="008D746D" w:rsidRPr="00014163">
        <w:rPr>
          <w:rFonts w:asciiTheme="majorHAnsi" w:eastAsia="Times New Roman" w:hAnsiTheme="majorHAnsi" w:cs="Times New Roman"/>
          <w:sz w:val="24"/>
          <w:szCs w:val="24"/>
        </w:rPr>
        <w:fldChar w:fldCharType="end"/>
      </w:r>
      <w:bookmarkEnd w:id="60"/>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Действително в случай като настоящия сдружение като ELPA може да има обективни причини да откаже да даде положително становище за разрешаването на мотоциклетно състезание.</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90.      Наличието на такава обективна причина е особено очевидно, когато организаторът на планираното мотоциклетно състезание не е взел подходящи мерки за безопасност и затова не може да се гарантира сигурността на състезателите и зрителите.</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91.      Извън чисто техническите изисквания за безопасност обективните причини да бъде отказано положително становище може да са свързани и с особеностите на съответния </w:t>
      </w:r>
      <w:proofErr w:type="gramStart"/>
      <w:r w:rsidRPr="00014163">
        <w:rPr>
          <w:rFonts w:asciiTheme="majorHAnsi" w:eastAsia="Times New Roman" w:hAnsiTheme="majorHAnsi" w:cs="Times New Roman"/>
          <w:sz w:val="24"/>
          <w:szCs w:val="24"/>
        </w:rPr>
        <w:t>спорт(</w:t>
      </w:r>
      <w:bookmarkStart w:id="61" w:name="Footref62"/>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"Footnote62"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62</w:t>
      </w:r>
      <w:r w:rsidR="008D746D" w:rsidRPr="00014163">
        <w:rPr>
          <w:rFonts w:asciiTheme="majorHAnsi" w:eastAsia="Times New Roman" w:hAnsiTheme="majorHAnsi" w:cs="Times New Roman"/>
          <w:sz w:val="24"/>
          <w:szCs w:val="24"/>
        </w:rPr>
        <w:fldChar w:fldCharType="end"/>
      </w:r>
      <w:bookmarkEnd w:id="61"/>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В случай като настоящия следва да бъдат споменати например следните аспекти.</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92.      От една страна, в интерес както на участващите спортисти, така и на публиката и обществеността е във всеки спорт да има и да се спазват определени, по възможност максимално унифицирани спортни правила, така че да се гарантира регламентирано и честно протичане на състезанията. </w:t>
      </w:r>
      <w:proofErr w:type="gramStart"/>
      <w:r w:rsidRPr="00014163">
        <w:rPr>
          <w:rFonts w:asciiTheme="majorHAnsi" w:eastAsia="Times New Roman" w:hAnsiTheme="majorHAnsi" w:cs="Times New Roman"/>
          <w:sz w:val="24"/>
          <w:szCs w:val="24"/>
        </w:rPr>
        <w:t>Това се отнася не само до постоянно обсъжданите антидопингови правила, но и до най-обичайните спортни правила.</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Ако в зависимост от организатора се прилагаха различни правила, това би затруднило участието на съответните спортисти в състезанията, както и сравняването на техните резултати, освен което би пострадал интересът към съответния спорт и репутацията му пред публиката.</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93.      Поради това не може поначало да бъде квалифициран като злоупотреба всеки случай, когато образувание като ELPA обвързва издаването на своето положително становище с оглед на разрешаването на мотоциклетно състезание със спазването на определени международно признати правила(</w:t>
      </w:r>
      <w:bookmarkStart w:id="62" w:name="Footref63"/>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"Footnote63"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63</w:t>
      </w:r>
      <w:r w:rsidR="008D746D" w:rsidRPr="00014163">
        <w:rPr>
          <w:rFonts w:asciiTheme="majorHAnsi" w:eastAsia="Times New Roman" w:hAnsiTheme="majorHAnsi" w:cs="Times New Roman"/>
          <w:sz w:val="24"/>
          <w:szCs w:val="24"/>
        </w:rPr>
        <w:fldChar w:fldCharType="end"/>
      </w:r>
      <w:bookmarkEnd w:id="62"/>
      <w:r w:rsidRPr="00014163">
        <w:rPr>
          <w:rFonts w:asciiTheme="majorHAnsi" w:eastAsia="Times New Roman" w:hAnsiTheme="majorHAnsi" w:cs="Times New Roman"/>
          <w:sz w:val="24"/>
          <w:szCs w:val="24"/>
        </w:rPr>
        <w:t xml:space="preserve">). Естествено, това не засяга проверката на съдържанието на всяка една от тези разпоредби съгласно критериите на общностното право, и по-специално на разпоредбите в областта на </w:t>
      </w:r>
      <w:proofErr w:type="gramStart"/>
      <w:r w:rsidRPr="00014163">
        <w:rPr>
          <w:rFonts w:asciiTheme="majorHAnsi" w:eastAsia="Times New Roman" w:hAnsiTheme="majorHAnsi" w:cs="Times New Roman"/>
          <w:sz w:val="24"/>
          <w:szCs w:val="24"/>
        </w:rPr>
        <w:t>конкуренцията(</w:t>
      </w:r>
      <w:bookmarkStart w:id="63" w:name="Footref64"/>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"Footnote64"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64</w:t>
      </w:r>
      <w:r w:rsidR="008D746D" w:rsidRPr="00014163">
        <w:rPr>
          <w:rFonts w:asciiTheme="majorHAnsi" w:eastAsia="Times New Roman" w:hAnsiTheme="majorHAnsi" w:cs="Times New Roman"/>
          <w:sz w:val="24"/>
          <w:szCs w:val="24"/>
        </w:rPr>
        <w:fldChar w:fldCharType="end"/>
      </w:r>
      <w:bookmarkEnd w:id="63"/>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94.      От друга страна, в интерес не само на участващите спортисти, а и на публиката и обществеността е различните състезания по определен спорт да се вместват в централизирано съставяна програма, така че например да бъде спазван определен график. </w:t>
      </w:r>
      <w:proofErr w:type="gramStart"/>
      <w:r w:rsidRPr="00014163">
        <w:rPr>
          <w:rFonts w:asciiTheme="majorHAnsi" w:eastAsia="Times New Roman" w:hAnsiTheme="majorHAnsi" w:cs="Times New Roman"/>
          <w:sz w:val="24"/>
          <w:szCs w:val="24"/>
        </w:rPr>
        <w:t>Разумно би било например да се избегне съвпадане във времето на различни състезания, за да се даде възможност както на спортистите, така и на зрителите да вземат участие в колкото е възможно повече такива прояви.</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95.      Поради това не може поначало да бъде квалифициран като злоупотреба всеки случай, когато образувание като ELPA обвързва положителното си становище с оглед на разрешаването на мотоциклетно състезание с условието </w:t>
      </w:r>
      <w:r w:rsidRPr="00014163">
        <w:rPr>
          <w:rFonts w:asciiTheme="majorHAnsi" w:eastAsia="Times New Roman" w:hAnsiTheme="majorHAnsi" w:cs="Times New Roman"/>
          <w:sz w:val="24"/>
          <w:szCs w:val="24"/>
        </w:rPr>
        <w:lastRenderedPageBreak/>
        <w:t>това състезание да не съвпада по време с други, вече планирани и разрешени състезания(</w:t>
      </w:r>
      <w:bookmarkStart w:id="64" w:name="Footref65"/>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"Footnote65"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65</w:t>
      </w:r>
      <w:r w:rsidR="008D746D" w:rsidRPr="00014163">
        <w:rPr>
          <w:rFonts w:asciiTheme="majorHAnsi" w:eastAsia="Times New Roman" w:hAnsiTheme="majorHAnsi" w:cs="Times New Roman"/>
          <w:sz w:val="24"/>
          <w:szCs w:val="24"/>
        </w:rPr>
        <w:fldChar w:fldCharType="end"/>
      </w:r>
      <w:bookmarkEnd w:id="64"/>
      <w:r w:rsidRPr="00014163">
        <w:rPr>
          <w:rFonts w:asciiTheme="majorHAnsi" w:eastAsia="Times New Roman" w:hAnsiTheme="majorHAnsi" w:cs="Times New Roman"/>
          <w:sz w:val="24"/>
          <w:szCs w:val="24"/>
        </w:rPr>
        <w:t>). При това се подразбира, че при евентуалното определяне на гръцката национална годишна програма за мотоциклетните състезания ELPA не може да дава предпочитание на състезанията, които самия той (съ)организира или реализира на пазара, пред състезанията на други, независими организатори.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96.      </w:t>
      </w:r>
      <w:r w:rsidRPr="00014163">
        <w:rPr>
          <w:rFonts w:asciiTheme="majorHAnsi" w:eastAsia="Times New Roman" w:hAnsiTheme="majorHAnsi" w:cs="Times New Roman"/>
          <w:i/>
          <w:iCs/>
          <w:sz w:val="24"/>
          <w:szCs w:val="24"/>
        </w:rPr>
        <w:t>Пирамидалната структура</w:t>
      </w:r>
      <w:r w:rsidRPr="00014163">
        <w:rPr>
          <w:rFonts w:asciiTheme="majorHAnsi" w:eastAsia="Times New Roman" w:hAnsiTheme="majorHAnsi" w:cs="Times New Roman"/>
          <w:sz w:val="24"/>
          <w:szCs w:val="24"/>
        </w:rPr>
        <w:t>(</w:t>
      </w:r>
      <w:bookmarkStart w:id="65" w:name="Footref66"/>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"Footnote66"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66</w:t>
      </w:r>
      <w:r w:rsidR="008D746D" w:rsidRPr="00014163">
        <w:rPr>
          <w:rFonts w:asciiTheme="majorHAnsi" w:eastAsia="Times New Roman" w:hAnsiTheme="majorHAnsi" w:cs="Times New Roman"/>
          <w:sz w:val="24"/>
          <w:szCs w:val="24"/>
        </w:rPr>
        <w:fldChar w:fldCharType="end"/>
      </w:r>
      <w:bookmarkEnd w:id="65"/>
      <w:r w:rsidRPr="00014163">
        <w:rPr>
          <w:rFonts w:asciiTheme="majorHAnsi" w:eastAsia="Times New Roman" w:hAnsiTheme="majorHAnsi" w:cs="Times New Roman"/>
          <w:sz w:val="24"/>
          <w:szCs w:val="24"/>
        </w:rPr>
        <w:t>), която се е оформила в повечето спортове(</w:t>
      </w:r>
      <w:bookmarkStart w:id="66" w:name="Footref67"/>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"Footnote67"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67</w:t>
      </w:r>
      <w:r w:rsidR="008D746D" w:rsidRPr="00014163">
        <w:rPr>
          <w:rFonts w:asciiTheme="majorHAnsi" w:eastAsia="Times New Roman" w:hAnsiTheme="majorHAnsi" w:cs="Times New Roman"/>
          <w:sz w:val="24"/>
          <w:szCs w:val="24"/>
        </w:rPr>
        <w:fldChar w:fldCharType="end"/>
      </w:r>
      <w:bookmarkEnd w:id="66"/>
      <w:r w:rsidRPr="00014163">
        <w:rPr>
          <w:rFonts w:asciiTheme="majorHAnsi" w:eastAsia="Times New Roman" w:hAnsiTheme="majorHAnsi" w:cs="Times New Roman"/>
          <w:sz w:val="24"/>
          <w:szCs w:val="24"/>
        </w:rPr>
        <w:t xml:space="preserve">), способства да се осигури спазването на специфичните изисквания на спорта, например на единни правила и единен график за състезанията. </w:t>
      </w:r>
      <w:proofErr w:type="gramStart"/>
      <w:r w:rsidRPr="00014163">
        <w:rPr>
          <w:rFonts w:asciiTheme="majorHAnsi" w:eastAsia="Times New Roman" w:hAnsiTheme="majorHAnsi" w:cs="Times New Roman"/>
          <w:sz w:val="24"/>
          <w:szCs w:val="24"/>
        </w:rPr>
        <w:t>Образувание като ELPA, което се явява официален представител в Гърция на Международната федерация по мотоциклетизъм (ФИМ), е част от тази пирамидална структура.</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В рамките на предоставеното му право да участва при издаването на административни разрешения за мотоциклетни състезания ELPA може по един легитимен начин да отстоява интересите на спорта и в случай на необходимост да откаже да даде положително становище.</w:t>
      </w:r>
      <w:proofErr w:type="gramEnd"/>
      <w:r w:rsidRPr="00014163">
        <w:rPr>
          <w:rFonts w:asciiTheme="majorHAnsi" w:eastAsia="Times New Roman" w:hAnsiTheme="majorHAnsi" w:cs="Times New Roman"/>
          <w:sz w:val="24"/>
          <w:szCs w:val="24"/>
        </w:rPr>
        <w:t xml:space="preserve"> Отказът на положително становище обаче се превръща в злоупотреба, когато не може да бъде обективно обоснован с интересите на спорта, а произволно се използва за подпомагане на собствените икономически интереси и за възпрепятстване на други оператори, които желаят на своя отговорност да организират мотоциклетни състезания и преди всичко да ги реализират на пазара.</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б) Правна уредба като тази в Гърция предпоставя възникването на злоупотреби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97.      Независимо от фактическото наличие на злоупотреба </w:t>
      </w:r>
      <w:r w:rsidRPr="00014163">
        <w:rPr>
          <w:rFonts w:asciiTheme="majorHAnsi" w:eastAsia="Times New Roman" w:hAnsiTheme="majorHAnsi" w:cs="Times New Roman"/>
          <w:i/>
          <w:iCs/>
          <w:sz w:val="24"/>
          <w:szCs w:val="24"/>
        </w:rPr>
        <w:t>създаването </w:t>
      </w:r>
      <w:r w:rsidRPr="00014163">
        <w:rPr>
          <w:rFonts w:asciiTheme="majorHAnsi" w:eastAsia="Times New Roman" w:hAnsiTheme="majorHAnsi" w:cs="Times New Roman"/>
          <w:sz w:val="24"/>
          <w:szCs w:val="24"/>
        </w:rPr>
        <w:t>от страна на държавата</w:t>
      </w:r>
      <w:r w:rsidRPr="00014163">
        <w:rPr>
          <w:rFonts w:asciiTheme="majorHAnsi" w:eastAsia="Times New Roman" w:hAnsiTheme="majorHAnsi" w:cs="Times New Roman"/>
          <w:i/>
          <w:iCs/>
          <w:sz w:val="24"/>
          <w:szCs w:val="24"/>
        </w:rPr>
        <w:t> на опасност от злоупотреба</w:t>
      </w:r>
      <w:r w:rsidRPr="00014163">
        <w:rPr>
          <w:rFonts w:asciiTheme="majorHAnsi" w:eastAsia="Times New Roman" w:hAnsiTheme="majorHAnsi" w:cs="Times New Roman"/>
          <w:sz w:val="24"/>
          <w:szCs w:val="24"/>
        </w:rPr>
        <w:t> се явява достатъчно основание да се допусне наличието на нарушение на член 86, параграф 1 ЕО във връзка с член 82 ЕО(</w:t>
      </w:r>
      <w:bookmarkStart w:id="67" w:name="Footref68"/>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"Footnote68"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68</w:t>
      </w:r>
      <w:r w:rsidR="008D746D" w:rsidRPr="00014163">
        <w:rPr>
          <w:rFonts w:asciiTheme="majorHAnsi" w:eastAsia="Times New Roman" w:hAnsiTheme="majorHAnsi" w:cs="Times New Roman"/>
          <w:sz w:val="24"/>
          <w:szCs w:val="24"/>
        </w:rPr>
        <w:fldChar w:fldCharType="end"/>
      </w:r>
      <w:bookmarkEnd w:id="67"/>
      <w:r w:rsidRPr="00014163">
        <w:rPr>
          <w:rFonts w:asciiTheme="majorHAnsi" w:eastAsia="Times New Roman" w:hAnsiTheme="majorHAnsi" w:cs="Times New Roman"/>
          <w:sz w:val="24"/>
          <w:szCs w:val="24"/>
        </w:rPr>
        <w:t>). В настоящия случай по две причини може да се счита, че има непосредствена опасност от злоупотреба с господстващото положение на ELPA(</w:t>
      </w:r>
      <w:bookmarkStart w:id="68" w:name="Footref69"/>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"Footnote69"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69</w:t>
      </w:r>
      <w:r w:rsidR="008D746D" w:rsidRPr="00014163">
        <w:rPr>
          <w:rFonts w:asciiTheme="majorHAnsi" w:eastAsia="Times New Roman" w:hAnsiTheme="majorHAnsi" w:cs="Times New Roman"/>
          <w:sz w:val="24"/>
          <w:szCs w:val="24"/>
        </w:rPr>
        <w:fldChar w:fldCharType="end"/>
      </w:r>
      <w:bookmarkEnd w:id="68"/>
      <w:r w:rsidRPr="00014163">
        <w:rPr>
          <w:rFonts w:asciiTheme="majorHAnsi" w:eastAsia="Times New Roman" w:hAnsiTheme="majorHAnsi" w:cs="Times New Roman"/>
          <w:sz w:val="24"/>
          <w:szCs w:val="24"/>
        </w:rPr>
        <w:t>) във връзка с упражняване на правото му съгласно член 49 от гръцкия Закон за движение по пътищата да участва при издаването на разрешения.</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98.      На първо място, правната уредба като разглежданата в настоящия случай, с която се въвежда изискване за положително становище, води до конфликт на интереси(</w:t>
      </w:r>
      <w:bookmarkStart w:id="69" w:name="Footref70"/>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"Footnote70"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70</w:t>
      </w:r>
      <w:r w:rsidR="008D746D" w:rsidRPr="00014163">
        <w:rPr>
          <w:rFonts w:asciiTheme="majorHAnsi" w:eastAsia="Times New Roman" w:hAnsiTheme="majorHAnsi" w:cs="Times New Roman"/>
          <w:sz w:val="24"/>
          <w:szCs w:val="24"/>
        </w:rPr>
        <w:fldChar w:fldCharType="end"/>
      </w:r>
      <w:bookmarkEnd w:id="69"/>
      <w:r w:rsidRPr="00014163">
        <w:rPr>
          <w:rFonts w:asciiTheme="majorHAnsi" w:eastAsia="Times New Roman" w:hAnsiTheme="majorHAnsi" w:cs="Times New Roman"/>
          <w:sz w:val="24"/>
          <w:szCs w:val="24"/>
        </w:rPr>
        <w:t>): ELPA, който сам организира мотоциклетни състезания и ги реализира на пазара, получава от гръцката държава право да участва при издаването на разрешения за мотоциклетни състезания на други, независими оператори. По този начин ELPA не само разполага с правните средства и способи, които му позволяват ефикасно да възпрепятства навлизането на други, независими оператори на гръцкия пазар, но има и икономически интерес да ограничи достъпа на своите конкуренти до пазара в своя собствена полза.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99.      На второ място, в рамките на въпросната правна уредба, с която се въвежда изискване за положително становище, ELPA не подлежи на ограничения, задължения и контрол във връзка с даването или отказа на положително становище с оглед на разрешаването на мотоциклетни </w:t>
      </w:r>
      <w:r w:rsidRPr="00014163">
        <w:rPr>
          <w:rFonts w:asciiTheme="majorHAnsi" w:eastAsia="Times New Roman" w:hAnsiTheme="majorHAnsi" w:cs="Times New Roman"/>
          <w:sz w:val="24"/>
          <w:szCs w:val="24"/>
        </w:rPr>
        <w:lastRenderedPageBreak/>
        <w:t xml:space="preserve">състезания. </w:t>
      </w:r>
      <w:proofErr w:type="gramStart"/>
      <w:r w:rsidRPr="00014163">
        <w:rPr>
          <w:rFonts w:asciiTheme="majorHAnsi" w:eastAsia="Times New Roman" w:hAnsiTheme="majorHAnsi" w:cs="Times New Roman"/>
          <w:sz w:val="24"/>
          <w:szCs w:val="24"/>
        </w:rPr>
        <w:t>По този начин за ELPA е особено лесно да откаже да даде положително становище за издаването на разрешение за мотоциклетни състезания на други, независими оператори.</w:t>
      </w:r>
      <w:proofErr w:type="gramEnd"/>
      <w:r w:rsidRPr="00014163">
        <w:rPr>
          <w:rFonts w:asciiTheme="majorHAnsi" w:eastAsia="Times New Roman" w:hAnsiTheme="majorHAnsi" w:cs="Times New Roman"/>
          <w:sz w:val="24"/>
          <w:szCs w:val="24"/>
        </w:rPr>
        <w:t xml:space="preserve"> Както се вижда особено ясно в настоящия случай, дори самото бездействие на ELPA през 2000 г. е било достатъчно да провали начинанието на друг оператор, в случая MOTOE.</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100. Система на ненарушена конкуренция като предвидената в Договора за ЕО(</w:t>
      </w:r>
      <w:bookmarkStart w:id="70" w:name="Footref71"/>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"Footnote71"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71</w:t>
      </w:r>
      <w:r w:rsidR="008D746D" w:rsidRPr="00014163">
        <w:rPr>
          <w:rFonts w:asciiTheme="majorHAnsi" w:eastAsia="Times New Roman" w:hAnsiTheme="majorHAnsi" w:cs="Times New Roman"/>
          <w:sz w:val="24"/>
          <w:szCs w:val="24"/>
        </w:rPr>
        <w:fldChar w:fldCharType="end"/>
      </w:r>
      <w:bookmarkEnd w:id="70"/>
      <w:r w:rsidRPr="00014163">
        <w:rPr>
          <w:rFonts w:asciiTheme="majorHAnsi" w:eastAsia="Times New Roman" w:hAnsiTheme="majorHAnsi" w:cs="Times New Roman"/>
          <w:sz w:val="24"/>
          <w:szCs w:val="24"/>
        </w:rPr>
        <w:t>) обаче може да бъде гарантирана само ако се осигурят </w:t>
      </w:r>
      <w:r w:rsidRPr="00014163">
        <w:rPr>
          <w:rFonts w:asciiTheme="majorHAnsi" w:eastAsia="Times New Roman" w:hAnsiTheme="majorHAnsi" w:cs="Times New Roman"/>
          <w:i/>
          <w:iCs/>
          <w:sz w:val="24"/>
          <w:szCs w:val="24"/>
        </w:rPr>
        <w:t>равни възможности</w:t>
      </w:r>
      <w:r w:rsidRPr="00014163">
        <w:rPr>
          <w:rFonts w:asciiTheme="majorHAnsi" w:eastAsia="Times New Roman" w:hAnsiTheme="majorHAnsi" w:cs="Times New Roman"/>
          <w:sz w:val="24"/>
          <w:szCs w:val="24"/>
        </w:rPr>
        <w:t> на различните икономически оператори(</w:t>
      </w:r>
      <w:bookmarkStart w:id="71" w:name="Footref72"/>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"Footnote72"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72</w:t>
      </w:r>
      <w:r w:rsidR="008D746D" w:rsidRPr="00014163">
        <w:rPr>
          <w:rFonts w:asciiTheme="majorHAnsi" w:eastAsia="Times New Roman" w:hAnsiTheme="majorHAnsi" w:cs="Times New Roman"/>
          <w:sz w:val="24"/>
          <w:szCs w:val="24"/>
        </w:rPr>
        <w:fldChar w:fldCharType="end"/>
      </w:r>
      <w:bookmarkEnd w:id="71"/>
      <w:r w:rsidRPr="00014163">
        <w:rPr>
          <w:rFonts w:asciiTheme="majorHAnsi" w:eastAsia="Times New Roman" w:hAnsiTheme="majorHAnsi" w:cs="Times New Roman"/>
          <w:sz w:val="24"/>
          <w:szCs w:val="24"/>
        </w:rPr>
        <w:t>). Несъвместимо с това е дадено предприятие като ELPA, което самò организира мотоциклетни състезания и ги реализира на пазара, да получава правомощия от страна на държавата да преценява по свое усмотрение кои мотоциклетни състезания могат да се провеждат в Гърция и кои — не, защото по този начин му се предоставя безспорно конкурентно предимство както при организирането на мотоциклетни състезания, така и при пазарната им реализация(</w:t>
      </w:r>
      <w:bookmarkStart w:id="72" w:name="Footref73"/>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"Footnote73"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73</w:t>
      </w:r>
      <w:r w:rsidR="008D746D" w:rsidRPr="00014163">
        <w:rPr>
          <w:rFonts w:asciiTheme="majorHAnsi" w:eastAsia="Times New Roman" w:hAnsiTheme="majorHAnsi" w:cs="Times New Roman"/>
          <w:sz w:val="24"/>
          <w:szCs w:val="24"/>
        </w:rPr>
        <w:fldChar w:fldCharType="end"/>
      </w:r>
      <w:bookmarkEnd w:id="72"/>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101. Наистина общностното право изобщо не забранява националният законодател в определени случаи да предвиди компетентните административни органи да получават специализирана консултация преди предоставяне на разрешение за дадена дейност. </w:t>
      </w:r>
      <w:proofErr w:type="gramStart"/>
      <w:r w:rsidRPr="00014163">
        <w:rPr>
          <w:rFonts w:asciiTheme="majorHAnsi" w:eastAsia="Times New Roman" w:hAnsiTheme="majorHAnsi" w:cs="Times New Roman"/>
          <w:sz w:val="24"/>
          <w:szCs w:val="24"/>
        </w:rPr>
        <w:t>Затова най-общо казано може да е разумно при вземане на решения в областта на спорта да бъдат привличани засегнатите спортни сдружения.</w:t>
      </w:r>
      <w:proofErr w:type="gramEnd"/>
      <w:r w:rsidRPr="00014163">
        <w:rPr>
          <w:rFonts w:asciiTheme="majorHAnsi" w:eastAsia="Times New Roman" w:hAnsiTheme="majorHAnsi" w:cs="Times New Roman"/>
          <w:sz w:val="24"/>
          <w:szCs w:val="24"/>
        </w:rPr>
        <w:t xml:space="preserve"> Така по най-добрия начин може да се отчитат специфичните особености на спорта като цяло и на съответния вид спорт в </w:t>
      </w:r>
      <w:proofErr w:type="gramStart"/>
      <w:r w:rsidRPr="00014163">
        <w:rPr>
          <w:rFonts w:asciiTheme="majorHAnsi" w:eastAsia="Times New Roman" w:hAnsiTheme="majorHAnsi" w:cs="Times New Roman"/>
          <w:sz w:val="24"/>
          <w:szCs w:val="24"/>
        </w:rPr>
        <w:t>частност(</w:t>
      </w:r>
      <w:bookmarkStart w:id="73" w:name="Footref74"/>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"Footnote74"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74</w:t>
      </w:r>
      <w:r w:rsidR="008D746D" w:rsidRPr="00014163">
        <w:rPr>
          <w:rFonts w:asciiTheme="majorHAnsi" w:eastAsia="Times New Roman" w:hAnsiTheme="majorHAnsi" w:cs="Times New Roman"/>
          <w:sz w:val="24"/>
          <w:szCs w:val="24"/>
        </w:rPr>
        <w:fldChar w:fldCharType="end"/>
      </w:r>
      <w:bookmarkEnd w:id="73"/>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102. Поддържането на ненарушена конкуренция и гарантирането на прозрачност изискват обаче ясно разграничаване на структурата, която участва при издаването на административни разрешения за мотоциклетни състезания и евентуално осъществява надзор върху тези състезания, от една страна, от предприятията, които организират такива състезания и ги реализират на пазара, от друга(</w:t>
      </w:r>
      <w:bookmarkStart w:id="74" w:name="Footref75"/>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"Footnote75"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75</w:t>
      </w:r>
      <w:r w:rsidR="008D746D" w:rsidRPr="00014163">
        <w:rPr>
          <w:rFonts w:asciiTheme="majorHAnsi" w:eastAsia="Times New Roman" w:hAnsiTheme="majorHAnsi" w:cs="Times New Roman"/>
          <w:sz w:val="24"/>
          <w:szCs w:val="24"/>
        </w:rPr>
        <w:fldChar w:fldCharType="end"/>
      </w:r>
      <w:bookmarkEnd w:id="74"/>
      <w:r w:rsidRPr="00014163">
        <w:rPr>
          <w:rFonts w:asciiTheme="majorHAnsi" w:eastAsia="Times New Roman" w:hAnsiTheme="majorHAnsi" w:cs="Times New Roman"/>
          <w:sz w:val="24"/>
          <w:szCs w:val="24"/>
        </w:rPr>
        <w:t>). Този принцип на разграничаване е нарушен в случаи като настоящия, когато една и съща структура, а именно ELPA, съответно упълномощеният от него ETHEAM, не само участва във вземането на административни решения за разрешаване на мотоциклетни състезания и е натоварен с надзора за безопасността им, но и сам извършва дейност по организирането и пазарната реализация на такива състезания в конкуренция с други, независими оператори.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xml:space="preserve">103. Наред с това трябва да се гарантира, че издаването на административни разрешения за мотоциклетни състезания се отказва само въз основа на обективни, недискриминационни критерии. </w:t>
      </w:r>
      <w:proofErr w:type="gramStart"/>
      <w:r w:rsidRPr="00014163">
        <w:rPr>
          <w:rFonts w:asciiTheme="majorHAnsi" w:eastAsia="Times New Roman" w:hAnsiTheme="majorHAnsi" w:cs="Times New Roman"/>
          <w:sz w:val="24"/>
          <w:szCs w:val="24"/>
        </w:rPr>
        <w:t>Получаването на административното разрешение за мотоциклетно състезание трябва да бъде възможно дори и без положително становище от оправомощена да участва във вземането на решения структура като ELPA, ако тази структура произволно откаже да даде положително становище.</w:t>
      </w:r>
      <w:proofErr w:type="gramEnd"/>
      <w:r w:rsidRPr="00014163">
        <w:rPr>
          <w:rFonts w:asciiTheme="majorHAnsi" w:eastAsia="Times New Roman" w:hAnsiTheme="majorHAnsi" w:cs="Times New Roman"/>
          <w:sz w:val="24"/>
          <w:szCs w:val="24"/>
        </w:rPr>
        <w:t xml:space="preserve"> Освен това на заявителя трябва да бъде предоставена ефективна правна защита срещу административния отказ(</w:t>
      </w:r>
      <w:bookmarkStart w:id="75" w:name="Footref76"/>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"Footnote76"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76</w:t>
      </w:r>
      <w:r w:rsidR="008D746D" w:rsidRPr="00014163">
        <w:rPr>
          <w:rFonts w:asciiTheme="majorHAnsi" w:eastAsia="Times New Roman" w:hAnsiTheme="majorHAnsi" w:cs="Times New Roman"/>
          <w:sz w:val="24"/>
          <w:szCs w:val="24"/>
        </w:rPr>
        <w:fldChar w:fldCharType="end"/>
      </w:r>
      <w:bookmarkEnd w:id="75"/>
      <w:r w:rsidRPr="00014163">
        <w:rPr>
          <w:rFonts w:asciiTheme="majorHAnsi" w:eastAsia="Times New Roman" w:hAnsiTheme="majorHAnsi" w:cs="Times New Roman"/>
          <w:sz w:val="24"/>
          <w:szCs w:val="24"/>
        </w:rPr>
        <w:t>), като това включва и постановяването на временни мерки(</w:t>
      </w:r>
      <w:bookmarkStart w:id="76" w:name="Footref77"/>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"Footnote77"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77</w:t>
      </w:r>
      <w:r w:rsidR="008D746D" w:rsidRPr="00014163">
        <w:rPr>
          <w:rFonts w:asciiTheme="majorHAnsi" w:eastAsia="Times New Roman" w:hAnsiTheme="majorHAnsi" w:cs="Times New Roman"/>
          <w:sz w:val="24"/>
          <w:szCs w:val="24"/>
        </w:rPr>
        <w:fldChar w:fldCharType="end"/>
      </w:r>
      <w:bookmarkEnd w:id="76"/>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t xml:space="preserve">104. В това отношение гръцкото правителство изтъква, че за разлика от установеното в решението за препращане, ELPA е длъжен да даде положително становище с оглед на разрешаването на мотоциклетно състезание, когато за това разрешение е подадено заявление по законоустановения ред и са изпълнени всички приложими условия съгласно нормите на действащото национално законодателство. Освен това изричният или мълчалив отказ да се предостави положително становище от страна на ELPA подлежи на съдебен контрол пред Symvoulio tis </w:t>
      </w:r>
      <w:proofErr w:type="gramStart"/>
      <w:r w:rsidRPr="00014163">
        <w:rPr>
          <w:rFonts w:asciiTheme="majorHAnsi" w:eastAsia="Times New Roman" w:hAnsiTheme="majorHAnsi" w:cs="Times New Roman"/>
          <w:sz w:val="24"/>
          <w:szCs w:val="24"/>
        </w:rPr>
        <w:t>Epikrateias(</w:t>
      </w:r>
      <w:bookmarkStart w:id="77" w:name="Footref78"/>
      <w:proofErr w:type="gramEnd"/>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"Footnote78"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78</w:t>
      </w:r>
      <w:r w:rsidR="008D746D" w:rsidRPr="00014163">
        <w:rPr>
          <w:rFonts w:asciiTheme="majorHAnsi" w:eastAsia="Times New Roman" w:hAnsiTheme="majorHAnsi" w:cs="Times New Roman"/>
          <w:sz w:val="24"/>
          <w:szCs w:val="24"/>
        </w:rPr>
        <w:fldChar w:fldCharType="end"/>
      </w:r>
      <w:bookmarkEnd w:id="77"/>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105. Все пак в този спор Съдът не следва да се произнася по тълкуването на националното право, тъй като в рамките на разпределянето на правомощията между общностните и националните юрисдикции трябва да вземе предвид фактическия и правен контекст, в който се вписват преюдициалните въпроси, така както е очертан с акта за препращане(</w:t>
      </w:r>
      <w:bookmarkStart w:id="78" w:name="Footref79"/>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"Footnote79"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79</w:t>
      </w:r>
      <w:r w:rsidR="008D746D" w:rsidRPr="00014163">
        <w:rPr>
          <w:rFonts w:asciiTheme="majorHAnsi" w:eastAsia="Times New Roman" w:hAnsiTheme="majorHAnsi" w:cs="Times New Roman"/>
          <w:sz w:val="24"/>
          <w:szCs w:val="24"/>
        </w:rPr>
        <w:fldChar w:fldCharType="end"/>
      </w:r>
      <w:bookmarkEnd w:id="78"/>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В решението за препращане изрично се приема за установено, че по отношение на правомощието си да дава становище ELPA не подлежи на каквито и да било ограничения, задължения и контрол.</w:t>
      </w:r>
      <w:proofErr w:type="gramEnd"/>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106. Поради това като цяло следва да се приеме изводът, че правна разпоредба като тази на член 49 от гръцкия Закон за движението по пътищата не съответства на изискванията на член 86, параграф 1 във връзка с член 82 ЕО, тъй като създава предпоставки за възникване на злоупотреби.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2. Изключенията по член 86, параграф 2 ЕО</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107. В заключение остава да се провери дали правна разпоредба като тази на член 49 от Закона за движението по пътищата попада в приложното поле на някое от изключенията по член 86, параграф 2 ЕО. Съгласно тази разпоредба предприятията, които са натоварени с функцията да оказват услуги от общ икономически интерес, се подчиняват само в ограничена степен на разпоредбите, съдържащи се в Договора за ЕО, и в частност на правилата на конкуренцията(</w:t>
      </w:r>
      <w:bookmarkStart w:id="79" w:name="Footref80"/>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"Footnote80"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80</w:t>
      </w:r>
      <w:r w:rsidR="008D746D" w:rsidRPr="00014163">
        <w:rPr>
          <w:rFonts w:asciiTheme="majorHAnsi" w:eastAsia="Times New Roman" w:hAnsiTheme="majorHAnsi" w:cs="Times New Roman"/>
          <w:sz w:val="24"/>
          <w:szCs w:val="24"/>
        </w:rPr>
        <w:fldChar w:fldCharType="end"/>
      </w:r>
      <w:bookmarkEnd w:id="79"/>
      <w:r w:rsidRPr="00014163">
        <w:rPr>
          <w:rFonts w:asciiTheme="majorHAnsi" w:eastAsia="Times New Roman" w:hAnsiTheme="majorHAnsi" w:cs="Times New Roman"/>
          <w:sz w:val="24"/>
          <w:szCs w:val="24"/>
        </w:rPr>
        <w:t>); правилата на конкуренцията се прилагат към такива предприятия само доколкото това не препятства фактически или юридически изпълнението на специфичните задачи, които са им възложени.</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108. В този смисъл по отношение на дейността на сдружение като ELPA трябва да бъдат разграничени две области: организацията и пазарната реализация на мотоциклетни състезания, от една страна, и участието във вземането на административни решения за разрешаване на такива състезания съгласно член 49 от Закона за движение по пътищата, от друга страна.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109. Що се отнася на първо място до </w:t>
      </w:r>
      <w:r w:rsidRPr="00014163">
        <w:rPr>
          <w:rFonts w:asciiTheme="majorHAnsi" w:eastAsia="Times New Roman" w:hAnsiTheme="majorHAnsi" w:cs="Times New Roman"/>
          <w:i/>
          <w:iCs/>
          <w:sz w:val="24"/>
          <w:szCs w:val="24"/>
        </w:rPr>
        <w:t>организацията и пазарната реализация на мотоциклетни състезания</w:t>
      </w:r>
      <w:r w:rsidRPr="00014163">
        <w:rPr>
          <w:rFonts w:asciiTheme="majorHAnsi" w:eastAsia="Times New Roman" w:hAnsiTheme="majorHAnsi" w:cs="Times New Roman"/>
          <w:sz w:val="24"/>
          <w:szCs w:val="24"/>
        </w:rPr>
        <w:t> от страна на сдружение като ELPA, без значение е дали става дума за услуга от общ икономически интерес по смисъла на член 86, параграф 2 ЕО, както вероятно би могло да се допусне с оглед на общественото значение на спорта. Така или иначе в настоящия случай всъщност няма никакви основания да се приеме, че с властнически акт гръцката държава е „натоварила“ ELPA с организацията и пазарната реализация на спортни състезания(</w:t>
      </w:r>
      <w:bookmarkStart w:id="80" w:name="Footref81"/>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"Footnote81"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81</w:t>
      </w:r>
      <w:r w:rsidR="008D746D" w:rsidRPr="00014163">
        <w:rPr>
          <w:rFonts w:asciiTheme="majorHAnsi" w:eastAsia="Times New Roman" w:hAnsiTheme="majorHAnsi" w:cs="Times New Roman"/>
          <w:sz w:val="24"/>
          <w:szCs w:val="24"/>
        </w:rPr>
        <w:fldChar w:fldCharType="end"/>
      </w:r>
      <w:bookmarkEnd w:id="80"/>
      <w:r w:rsidRPr="00014163">
        <w:rPr>
          <w:rFonts w:asciiTheme="majorHAnsi" w:eastAsia="Times New Roman" w:hAnsiTheme="majorHAnsi" w:cs="Times New Roman"/>
          <w:sz w:val="24"/>
          <w:szCs w:val="24"/>
        </w:rPr>
        <w:t xml:space="preserve">). Не е </w:t>
      </w:r>
      <w:r w:rsidRPr="00014163">
        <w:rPr>
          <w:rFonts w:asciiTheme="majorHAnsi" w:eastAsia="Times New Roman" w:hAnsiTheme="majorHAnsi" w:cs="Times New Roman"/>
          <w:sz w:val="24"/>
          <w:szCs w:val="24"/>
        </w:rPr>
        <w:lastRenderedPageBreak/>
        <w:t>ясно и доколко за изпълнението на подобна задача ELPA се нуждае от привилегия като тази по член 49 от Закона за движение по пътищата, която му дава възможност да не допуска други оператори на пазара(</w:t>
      </w:r>
      <w:bookmarkStart w:id="81" w:name="Footref82"/>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"Footnote82"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82</w:t>
      </w:r>
      <w:r w:rsidR="008D746D" w:rsidRPr="00014163">
        <w:rPr>
          <w:rFonts w:asciiTheme="majorHAnsi" w:eastAsia="Times New Roman" w:hAnsiTheme="majorHAnsi" w:cs="Times New Roman"/>
          <w:sz w:val="24"/>
          <w:szCs w:val="24"/>
        </w:rPr>
        <w:fldChar w:fldCharType="end"/>
      </w:r>
      <w:bookmarkEnd w:id="81"/>
      <w:r w:rsidRPr="00014163">
        <w:rPr>
          <w:rFonts w:asciiTheme="majorHAnsi" w:eastAsia="Times New Roman" w:hAnsiTheme="majorHAnsi" w:cs="Times New Roman"/>
          <w:sz w:val="24"/>
          <w:szCs w:val="24"/>
        </w:rPr>
        <w:t>). Във всички случаи обаче предвид конкретните си характеристики тази привилегия(</w:t>
      </w:r>
      <w:bookmarkStart w:id="82" w:name="Footref83"/>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"Footnote83"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83</w:t>
      </w:r>
      <w:r w:rsidR="008D746D" w:rsidRPr="00014163">
        <w:rPr>
          <w:rFonts w:asciiTheme="majorHAnsi" w:eastAsia="Times New Roman" w:hAnsiTheme="majorHAnsi" w:cs="Times New Roman"/>
          <w:sz w:val="24"/>
          <w:szCs w:val="24"/>
        </w:rPr>
        <w:fldChar w:fldCharType="end"/>
      </w:r>
      <w:bookmarkEnd w:id="82"/>
      <w:r w:rsidRPr="00014163">
        <w:rPr>
          <w:rFonts w:asciiTheme="majorHAnsi" w:eastAsia="Times New Roman" w:hAnsiTheme="majorHAnsi" w:cs="Times New Roman"/>
          <w:sz w:val="24"/>
          <w:szCs w:val="24"/>
        </w:rPr>
        <w:t>), съгласно която ELPA без ограничения, задължения и контрол може да откаже да даде положително становище с оглед на разрешаването на мотоциклетни състезания на други оператори, изглежда непропорционална.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110. Най-сетне, що се отнася до самото </w:t>
      </w:r>
      <w:r w:rsidRPr="00014163">
        <w:rPr>
          <w:rFonts w:asciiTheme="majorHAnsi" w:eastAsia="Times New Roman" w:hAnsiTheme="majorHAnsi" w:cs="Times New Roman"/>
          <w:i/>
          <w:iCs/>
          <w:sz w:val="24"/>
          <w:szCs w:val="24"/>
        </w:rPr>
        <w:t>участие</w:t>
      </w:r>
      <w:r w:rsidRPr="00014163">
        <w:rPr>
          <w:rFonts w:asciiTheme="majorHAnsi" w:eastAsia="Times New Roman" w:hAnsiTheme="majorHAnsi" w:cs="Times New Roman"/>
          <w:sz w:val="24"/>
          <w:szCs w:val="24"/>
        </w:rPr>
        <w:t> на ELPA</w:t>
      </w:r>
      <w:r w:rsidRPr="00014163">
        <w:rPr>
          <w:rFonts w:asciiTheme="majorHAnsi" w:eastAsia="Times New Roman" w:hAnsiTheme="majorHAnsi" w:cs="Times New Roman"/>
          <w:i/>
          <w:iCs/>
          <w:sz w:val="24"/>
          <w:szCs w:val="24"/>
        </w:rPr>
        <w:t> във вземането на административни решения за разрешаване на мотоциклетни състезания</w:t>
      </w:r>
      <w:r w:rsidRPr="00014163">
        <w:rPr>
          <w:rFonts w:asciiTheme="majorHAnsi" w:eastAsia="Times New Roman" w:hAnsiTheme="majorHAnsi" w:cs="Times New Roman"/>
          <w:sz w:val="24"/>
          <w:szCs w:val="24"/>
        </w:rPr>
        <w:t>, сдружението в този случай изобщо не предоставя услуги от общ икономически интерес, а участва при упражняването на властнически правомощия. Член 86, параграф 2 ЕО не се прилага към такива случаи, тъй като предпоставката за прилагане на тази разпоредба е наличието на услуга, т.е. на икономическа дейност като предприятие(</w:t>
      </w:r>
      <w:bookmarkStart w:id="83" w:name="Footref84"/>
      <w:r w:rsidR="008D746D" w:rsidRPr="00014163">
        <w:rPr>
          <w:rFonts w:asciiTheme="majorHAnsi" w:eastAsia="Times New Roman" w:hAnsiTheme="majorHAnsi" w:cs="Times New Roman"/>
          <w:sz w:val="24"/>
          <w:szCs w:val="24"/>
        </w:rPr>
        <w:fldChar w:fldCharType="begin"/>
      </w:r>
      <w:r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"Footnote84" </w:instrText>
      </w:r>
      <w:r w:rsidR="008D746D" w:rsidRPr="00014163">
        <w:rPr>
          <w:rFonts w:asciiTheme="majorHAnsi" w:eastAsia="Times New Roman" w:hAnsiTheme="majorHAnsi" w:cs="Times New Roman"/>
          <w:sz w:val="24"/>
          <w:szCs w:val="24"/>
        </w:rPr>
        <w:fldChar w:fldCharType="separate"/>
      </w:r>
      <w:r w:rsidRPr="00014163">
        <w:rPr>
          <w:rFonts w:asciiTheme="majorHAnsi" w:eastAsia="Times New Roman" w:hAnsiTheme="majorHAnsi" w:cs="Times New Roman"/>
          <w:sz w:val="24"/>
          <w:szCs w:val="24"/>
        </w:rPr>
        <w:t>84</w:t>
      </w:r>
      <w:r w:rsidR="008D746D" w:rsidRPr="00014163">
        <w:rPr>
          <w:rFonts w:asciiTheme="majorHAnsi" w:eastAsia="Times New Roman" w:hAnsiTheme="majorHAnsi" w:cs="Times New Roman"/>
          <w:sz w:val="24"/>
          <w:szCs w:val="24"/>
        </w:rPr>
        <w:fldChar w:fldCharType="end"/>
      </w:r>
      <w:bookmarkEnd w:id="83"/>
      <w:r w:rsidRPr="00014163">
        <w:rPr>
          <w:rFonts w:asciiTheme="majorHAnsi" w:eastAsia="Times New Roman" w:hAnsiTheme="majorHAnsi" w:cs="Times New Roman"/>
          <w:sz w:val="24"/>
          <w:szCs w:val="24"/>
        </w:rPr>
        <w:t>).</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111. При това положение член 86, параграф 2 ЕО не може да обоснове правна уредба като тази на член 49 от Закона за движението по пътищата.</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 3. Междинно заключение</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112. В обобщение може да бъде изтъкнато следното:</w:t>
      </w:r>
    </w:p>
    <w:p w:rsidR="00D62491" w:rsidRPr="00014163" w:rsidRDefault="00D62491" w:rsidP="00D62491">
      <w:pPr>
        <w:shd w:val="clear" w:color="auto" w:fill="FFFFFF"/>
        <w:spacing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Членове 82 ЕО и 86 ЕО не допускат правна уредба като член 49 от гръцкия Закон за движението по пътищата, съгласно която на сдружение с нестопанска цел, което самò организира мотоциклетни състезания и ги реализира на пазара, същевременно се предоставя изключителното право на участие при издаването на административни разрешения за такива състезания, при което сдружението може да откаже да предостави положително становище, без в това отношение да подлежи на ограничения, задължения или контрол.</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b/>
          <w:bCs/>
          <w:sz w:val="24"/>
          <w:szCs w:val="24"/>
        </w:rPr>
      </w:pPr>
      <w:r w:rsidRPr="00014163">
        <w:rPr>
          <w:rFonts w:asciiTheme="majorHAnsi" w:eastAsia="Times New Roman" w:hAnsiTheme="majorHAnsi" w:cs="Times New Roman"/>
          <w:b/>
          <w:bCs/>
          <w:sz w:val="24"/>
          <w:szCs w:val="24"/>
        </w:rPr>
        <w:t>VI – Заключение</w:t>
      </w:r>
    </w:p>
    <w:p w:rsidR="00D62491" w:rsidRPr="00014163" w:rsidRDefault="00D62491" w:rsidP="00D62491">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113. Въз основа на изложеното дотук предлагам на Съда да даде следните отговори на преюдициалните въпроси на Dioikitiko Efeteio Athinon:</w:t>
      </w:r>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t>„1)      Сдружение с нестопанска цел, което не само има изключителното право да участва при издаването на административни разрешения за мотоциклетни състезания, но и самò организира такива състезания и в тази връзка сключва договори за спонсорство, реклама и застраховка, се явява предприятие по смисъла на членове 82 ЕО и 86 ЕО.</w:t>
      </w:r>
    </w:p>
    <w:p w:rsidR="00D62491" w:rsidRPr="00014163" w:rsidRDefault="00D62491" w:rsidP="00D62491">
      <w:pPr>
        <w:shd w:val="clear" w:color="auto" w:fill="FFFFFF"/>
        <w:spacing w:after="240" w:line="240" w:lineRule="auto"/>
        <w:ind w:left="1247"/>
        <w:jc w:val="both"/>
        <w:rPr>
          <w:rFonts w:asciiTheme="majorHAnsi" w:eastAsia="Times New Roman" w:hAnsiTheme="majorHAnsi" w:cs="Times New Roman"/>
          <w:sz w:val="24"/>
          <w:szCs w:val="24"/>
        </w:rPr>
      </w:pPr>
      <w:proofErr w:type="gramStart"/>
      <w:r w:rsidRPr="00014163">
        <w:rPr>
          <w:rFonts w:asciiTheme="majorHAnsi" w:eastAsia="Times New Roman" w:hAnsiTheme="majorHAnsi" w:cs="Times New Roman"/>
          <w:sz w:val="24"/>
          <w:szCs w:val="24"/>
        </w:rPr>
        <w:t>Националната юрисдикция е компетентна при спазване на съдебната практика относно член 82 ЕО да провери дали това сдружение има господстващо положение на пазара и дали злоупотребата с това положение може да засегне значително търговията между държавите-членки.</w:t>
      </w:r>
      <w:proofErr w:type="gramEnd"/>
    </w:p>
    <w:p w:rsidR="00D62491" w:rsidRPr="00014163" w:rsidRDefault="00D62491" w:rsidP="00D62491">
      <w:pPr>
        <w:shd w:val="clear" w:color="auto" w:fill="FFFFFF"/>
        <w:spacing w:after="240" w:line="240" w:lineRule="auto"/>
        <w:ind w:left="1247" w:hanging="680"/>
        <w:jc w:val="both"/>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t>2)      Членове 82 ЕО и 86 ЕО не допускат правна уредба като член 49 от гръцкия Закон за движението по пътищата, съгласно която на сдружение с нестопанска цел, което самò организира мотоциклетни състезания и ги реализира на пазара, същевременно се предоставя изключителното право на участие при издаването на административни разрешения за такива състезания, при което сдружението може да откаже да предостави положително становище, без в това отношение да подлежи на ограничения, задължения или контрол.“</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25" style="width:0;height:1.5pt" o:hralign="center" o:hrstd="t" o:hrnoshade="t" o:hr="t" fillcolor="#333" stroked="f"/>
        </w:pict>
      </w:r>
    </w:p>
    <w:bookmarkStart w:id="84" w:name="Footnote1"/>
    <w:p w:rsidR="00D62491" w:rsidRPr="00014163" w:rsidRDefault="008D746D" w:rsidP="00D62491">
      <w:pPr>
        <w:shd w:val="clear" w:color="auto" w:fill="FFFFFF"/>
        <w:spacing w:line="240" w:lineRule="auto"/>
        <w:ind w:left="1106" w:hanging="539"/>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"Footref1"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1</w:t>
      </w:r>
      <w:r w:rsidRPr="00014163">
        <w:rPr>
          <w:rFonts w:asciiTheme="majorHAnsi" w:eastAsia="Times New Roman" w:hAnsiTheme="majorHAnsi" w:cs="Times New Roman"/>
          <w:sz w:val="24"/>
          <w:szCs w:val="24"/>
        </w:rPr>
        <w:fldChar w:fldCharType="end"/>
      </w:r>
      <w:bookmarkEnd w:id="84"/>
      <w:r w:rsidR="00D62491" w:rsidRPr="00014163">
        <w:rPr>
          <w:rFonts w:asciiTheme="majorHAnsi" w:eastAsia="Times New Roman" w:hAnsiTheme="majorHAnsi" w:cs="Times New Roman"/>
          <w:sz w:val="24"/>
          <w:szCs w:val="24"/>
        </w:rPr>
        <w:t> – Език на оригиналния текст: немски.</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26" style="width:0;height:1.5pt" o:hralign="center" o:hrstd="t" o:hrnoshade="t" o:hr="t" fillcolor="#333" stroked="f"/>
        </w:pict>
      </w:r>
    </w:p>
    <w:bookmarkStart w:id="85" w:name="Footnote2"/>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lang w:val="fr-FR"/>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lang w:val="fr-FR"/>
        </w:rPr>
        <w:instrText xml:space="preserve"> HYPERLINK "http://curia.europa.eu/juris/document/document.jsf;jsessionid=9ea7d0f130d538f7dfef66554bbca2c9ebf956c9ad5e.e34KaxiLc3eQc40LaxqMbN4OaNqMe0?text=&amp;docid=69595&amp;pageIndex=0&amp;doclang=BG&amp;mode=lst&amp;dir=&amp;occ=first&amp;part=1&amp;cid=76949" \l "Footref2"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lang w:val="fr-FR"/>
        </w:rPr>
        <w:t>2</w:t>
      </w:r>
      <w:r w:rsidRPr="00014163">
        <w:rPr>
          <w:rFonts w:asciiTheme="majorHAnsi" w:eastAsia="Times New Roman" w:hAnsiTheme="majorHAnsi" w:cs="Times New Roman"/>
          <w:sz w:val="24"/>
          <w:szCs w:val="24"/>
        </w:rPr>
        <w:fldChar w:fldCharType="end"/>
      </w:r>
      <w:bookmarkEnd w:id="85"/>
      <w:r w:rsidR="00D62491" w:rsidRPr="00014163">
        <w:rPr>
          <w:rFonts w:asciiTheme="majorHAnsi" w:eastAsia="Times New Roman" w:hAnsiTheme="majorHAnsi" w:cs="Times New Roman"/>
          <w:sz w:val="24"/>
          <w:szCs w:val="24"/>
          <w:lang w:val="fr-FR"/>
        </w:rPr>
        <w:t> – Elliniki Leschi Aftokinitou kai Periigiseon.</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27" style="width:0;height:1.5pt" o:hralign="center" o:hrstd="t" o:hrnoshade="t" o:hr="t" fillcolor="#333" stroked="f"/>
        </w:pict>
      </w:r>
    </w:p>
    <w:bookmarkStart w:id="86" w:name="Footnote3"/>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"Footref3"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3</w:t>
      </w:r>
      <w:r w:rsidRPr="00014163">
        <w:rPr>
          <w:rFonts w:asciiTheme="majorHAnsi" w:eastAsia="Times New Roman" w:hAnsiTheme="majorHAnsi" w:cs="Times New Roman"/>
          <w:sz w:val="24"/>
          <w:szCs w:val="24"/>
        </w:rPr>
        <w:fldChar w:fldCharType="end"/>
      </w:r>
      <w:bookmarkEnd w:id="86"/>
      <w:r w:rsidR="00D62491" w:rsidRPr="00014163">
        <w:rPr>
          <w:rFonts w:asciiTheme="majorHAnsi" w:eastAsia="Times New Roman" w:hAnsiTheme="majorHAnsi" w:cs="Times New Roman"/>
          <w:sz w:val="24"/>
          <w:szCs w:val="24"/>
        </w:rPr>
        <w:t> – Ethniki Epitropi Agonon Motosikletas.</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28" style="width:0;height:1.5pt" o:hralign="center" o:hrstd="t" o:hrnoshade="t" o:hr="t" fillcolor="#333" stroked="f"/>
        </w:pict>
      </w:r>
    </w:p>
    <w:bookmarkStart w:id="87" w:name="Footnote4"/>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"Footref4"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4</w:t>
      </w:r>
      <w:r w:rsidRPr="00014163">
        <w:rPr>
          <w:rFonts w:asciiTheme="majorHAnsi" w:eastAsia="Times New Roman" w:hAnsiTheme="majorHAnsi" w:cs="Times New Roman"/>
          <w:sz w:val="24"/>
          <w:szCs w:val="24"/>
        </w:rPr>
        <w:fldChar w:fldCharType="end"/>
      </w:r>
      <w:bookmarkEnd w:id="87"/>
      <w:r w:rsidR="00D62491" w:rsidRPr="00014163">
        <w:rPr>
          <w:rFonts w:asciiTheme="majorHAnsi" w:eastAsia="Times New Roman" w:hAnsiTheme="majorHAnsi" w:cs="Times New Roman"/>
          <w:sz w:val="24"/>
          <w:szCs w:val="24"/>
        </w:rPr>
        <w:t> – Motosykletistiki Omospondia Ellados.</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29" style="width:0;height:1.5pt" o:hralign="center" o:hrstd="t" o:hrnoshade="t" o:hr="t" fillcolor="#333" stroked="f"/>
        </w:pict>
      </w:r>
    </w:p>
    <w:bookmarkStart w:id="88" w:name="Footnote5"/>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"Footref5" </w:instrText>
      </w:r>
      <w:r w:rsidRPr="00014163">
        <w:rPr>
          <w:rFonts w:asciiTheme="majorHAnsi" w:eastAsia="Times New Roman" w:hAnsiTheme="majorHAnsi" w:cs="Times New Roman"/>
          <w:sz w:val="24"/>
          <w:szCs w:val="24"/>
        </w:rPr>
        <w:fldChar w:fldCharType="separate"/>
      </w:r>
      <w:proofErr w:type="gramStart"/>
      <w:r w:rsidR="00D62491" w:rsidRPr="00014163">
        <w:rPr>
          <w:rFonts w:asciiTheme="majorHAnsi" w:eastAsia="Times New Roman" w:hAnsiTheme="majorHAnsi" w:cs="Times New Roman"/>
          <w:sz w:val="24"/>
          <w:szCs w:val="24"/>
        </w:rPr>
        <w:t>5</w:t>
      </w:r>
      <w:r w:rsidRPr="00014163">
        <w:rPr>
          <w:rFonts w:asciiTheme="majorHAnsi" w:eastAsia="Times New Roman" w:hAnsiTheme="majorHAnsi" w:cs="Times New Roman"/>
          <w:sz w:val="24"/>
          <w:szCs w:val="24"/>
        </w:rPr>
        <w:fldChar w:fldCharType="end"/>
      </w:r>
      <w:bookmarkEnd w:id="88"/>
      <w:r w:rsidR="00D62491" w:rsidRPr="00014163">
        <w:rPr>
          <w:rFonts w:asciiTheme="majorHAnsi" w:eastAsia="Times New Roman" w:hAnsiTheme="majorHAnsi" w:cs="Times New Roman"/>
          <w:sz w:val="24"/>
          <w:szCs w:val="24"/>
        </w:rPr>
        <w:t> – FEK A’ 57.</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30" style="width:0;height:1.5pt" o:hralign="center" o:hrstd="t" o:hrnoshade="t" o:hr="t" fillcolor="#333" stroked="f"/>
        </w:pict>
      </w:r>
    </w:p>
    <w:bookmarkStart w:id="89" w:name="Footnote6"/>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"Footref6" </w:instrText>
      </w:r>
      <w:r w:rsidRPr="00014163">
        <w:rPr>
          <w:rFonts w:asciiTheme="majorHAnsi" w:eastAsia="Times New Roman" w:hAnsiTheme="majorHAnsi" w:cs="Times New Roman"/>
          <w:sz w:val="24"/>
          <w:szCs w:val="24"/>
        </w:rPr>
        <w:fldChar w:fldCharType="separate"/>
      </w:r>
      <w:proofErr w:type="gramStart"/>
      <w:r w:rsidR="00D62491" w:rsidRPr="00014163">
        <w:rPr>
          <w:rFonts w:asciiTheme="majorHAnsi" w:eastAsia="Times New Roman" w:hAnsiTheme="majorHAnsi" w:cs="Times New Roman"/>
          <w:sz w:val="24"/>
          <w:szCs w:val="24"/>
        </w:rPr>
        <w:t>6</w:t>
      </w:r>
      <w:r w:rsidRPr="00014163">
        <w:rPr>
          <w:rFonts w:asciiTheme="majorHAnsi" w:eastAsia="Times New Roman" w:hAnsiTheme="majorHAnsi" w:cs="Times New Roman"/>
          <w:sz w:val="24"/>
          <w:szCs w:val="24"/>
        </w:rPr>
        <w:fldChar w:fldCharType="end"/>
      </w:r>
      <w:bookmarkEnd w:id="89"/>
      <w:r w:rsidR="00D62491" w:rsidRPr="00014163">
        <w:rPr>
          <w:rFonts w:asciiTheme="majorHAnsi" w:eastAsia="Times New Roman" w:hAnsiTheme="majorHAnsi" w:cs="Times New Roman"/>
          <w:sz w:val="24"/>
          <w:szCs w:val="24"/>
        </w:rPr>
        <w:t> – FEK A’ 121.</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31" style="width:0;height:1.5pt" o:hralign="center" o:hrstd="t" o:hrnoshade="t" o:hr="t" fillcolor="#333" stroked="f"/>
        </w:pict>
      </w:r>
    </w:p>
    <w:bookmarkStart w:id="90" w:name="Footnote7"/>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"Footref7"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7</w:t>
      </w:r>
      <w:r w:rsidRPr="00014163">
        <w:rPr>
          <w:rFonts w:asciiTheme="majorHAnsi" w:eastAsia="Times New Roman" w:hAnsiTheme="majorHAnsi" w:cs="Times New Roman"/>
          <w:sz w:val="24"/>
          <w:szCs w:val="24"/>
        </w:rPr>
        <w:fldChar w:fldCharType="end"/>
      </w:r>
      <w:bookmarkEnd w:id="90"/>
      <w:r w:rsidR="00D62491" w:rsidRPr="00014163">
        <w:rPr>
          <w:rFonts w:asciiTheme="majorHAnsi" w:eastAsia="Times New Roman" w:hAnsiTheme="majorHAnsi" w:cs="Times New Roman"/>
          <w:sz w:val="24"/>
          <w:szCs w:val="24"/>
        </w:rPr>
        <w:t> – Ethnikos Athlitikos Kanonismos Motosikletas.</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32" style="width:0;height:1.5pt" o:hralign="center" o:hrstd="t" o:hrnoshade="t" o:hr="t" fillcolor="#333" stroked="f"/>
        </w:pict>
      </w:r>
    </w:p>
    <w:bookmarkStart w:id="91" w:name="Footnote8"/>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"Footref8"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8</w:t>
      </w:r>
      <w:r w:rsidRPr="00014163">
        <w:rPr>
          <w:rFonts w:asciiTheme="majorHAnsi" w:eastAsia="Times New Roman" w:hAnsiTheme="majorHAnsi" w:cs="Times New Roman"/>
          <w:sz w:val="24"/>
          <w:szCs w:val="24"/>
        </w:rPr>
        <w:fldChar w:fldCharType="end"/>
      </w:r>
      <w:bookmarkEnd w:id="91"/>
      <w:r w:rsidR="00D62491" w:rsidRPr="00014163">
        <w:rPr>
          <w:rFonts w:asciiTheme="majorHAnsi" w:eastAsia="Times New Roman" w:hAnsiTheme="majorHAnsi" w:cs="Times New Roman"/>
          <w:sz w:val="24"/>
          <w:szCs w:val="24"/>
        </w:rPr>
        <w:t> – Първоинстанционен административен съд, Атина.</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33" style="width:0;height:1.5pt" o:hralign="center" o:hrstd="t" o:hrnoshade="t" o:hr="t" fillcolor="#333" stroked="f"/>
        </w:pict>
      </w:r>
    </w:p>
    <w:bookmarkStart w:id="92" w:name="Footnote9"/>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"Footref9"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9</w:t>
      </w:r>
      <w:r w:rsidRPr="00014163">
        <w:rPr>
          <w:rFonts w:asciiTheme="majorHAnsi" w:eastAsia="Times New Roman" w:hAnsiTheme="majorHAnsi" w:cs="Times New Roman"/>
          <w:sz w:val="24"/>
          <w:szCs w:val="24"/>
        </w:rPr>
        <w:fldChar w:fldCharType="end"/>
      </w:r>
      <w:bookmarkEnd w:id="92"/>
      <w:r w:rsidR="00D62491" w:rsidRPr="00014163">
        <w:rPr>
          <w:rFonts w:asciiTheme="majorHAnsi" w:eastAsia="Times New Roman" w:hAnsiTheme="majorHAnsi" w:cs="Times New Roman"/>
          <w:sz w:val="24"/>
          <w:szCs w:val="24"/>
        </w:rPr>
        <w:t> – Според окончателния курс за превалутиране в евро (1 EUR = 340,750 GRD) това съответства на сума от 14 673</w:t>
      </w:r>
      <w:proofErr w:type="gramStart"/>
      <w:r w:rsidR="00D62491" w:rsidRPr="00014163">
        <w:rPr>
          <w:rFonts w:asciiTheme="majorHAnsi" w:eastAsia="Times New Roman" w:hAnsiTheme="majorHAnsi" w:cs="Times New Roman"/>
          <w:sz w:val="24"/>
          <w:szCs w:val="24"/>
        </w:rPr>
        <w:t>,51</w:t>
      </w:r>
      <w:proofErr w:type="gramEnd"/>
      <w:r w:rsidR="00D62491" w:rsidRPr="00014163">
        <w:rPr>
          <w:rFonts w:asciiTheme="majorHAnsi" w:eastAsia="Times New Roman" w:hAnsiTheme="majorHAnsi" w:cs="Times New Roman"/>
          <w:sz w:val="24"/>
          <w:szCs w:val="24"/>
        </w:rPr>
        <w:t> EUR.</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34" style="width:0;height:1.5pt" o:hralign="center" o:hrstd="t" o:hrnoshade="t" o:hr="t" fillcolor="#333" stroked="f"/>
        </w:pict>
      </w:r>
    </w:p>
    <w:bookmarkStart w:id="93" w:name="Footnote10"/>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"Footref10"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10</w:t>
      </w:r>
      <w:r w:rsidRPr="00014163">
        <w:rPr>
          <w:rFonts w:asciiTheme="majorHAnsi" w:eastAsia="Times New Roman" w:hAnsiTheme="majorHAnsi" w:cs="Times New Roman"/>
          <w:sz w:val="24"/>
          <w:szCs w:val="24"/>
        </w:rPr>
        <w:fldChar w:fldCharType="end"/>
      </w:r>
      <w:bookmarkEnd w:id="93"/>
      <w:r w:rsidR="00D62491" w:rsidRPr="00014163">
        <w:rPr>
          <w:rFonts w:asciiTheme="majorHAnsi" w:eastAsia="Times New Roman" w:hAnsiTheme="majorHAnsi" w:cs="Times New Roman"/>
          <w:sz w:val="24"/>
          <w:szCs w:val="24"/>
        </w:rPr>
        <w:t> – Апелативен административен съд, Атина.</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pict>
          <v:rect id="_x0000_i1035" style="width:0;height:1.5pt" o:hralign="center" o:hrstd="t" o:hrnoshade="t" o:hr="t" fillcolor="#333" stroked="f"/>
        </w:pict>
      </w:r>
    </w:p>
    <w:bookmarkStart w:id="94" w:name="Footnote11"/>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"Footref11"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11</w:t>
      </w:r>
      <w:r w:rsidRPr="00014163">
        <w:rPr>
          <w:rFonts w:asciiTheme="majorHAnsi" w:eastAsia="Times New Roman" w:hAnsiTheme="majorHAnsi" w:cs="Times New Roman"/>
          <w:sz w:val="24"/>
          <w:szCs w:val="24"/>
        </w:rPr>
        <w:fldChar w:fldCharType="end"/>
      </w:r>
      <w:bookmarkEnd w:id="94"/>
      <w:r w:rsidR="00D62491" w:rsidRPr="00014163">
        <w:rPr>
          <w:rFonts w:asciiTheme="majorHAnsi" w:eastAsia="Times New Roman" w:hAnsiTheme="majorHAnsi" w:cs="Times New Roman"/>
          <w:sz w:val="24"/>
          <w:szCs w:val="24"/>
        </w:rPr>
        <w:t> – Декларация № 29 от Заключителния акт на междуправителствената конференция за подписания на 2 октомври 1997 г. Договор от Амстердам (ОВ C 340, 1997 г, стр. 136).</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36" style="width:0;height:1.5pt" o:hralign="center" o:hrstd="t" o:hrnoshade="t" o:hr="t" fillcolor="#333" stroked="f"/>
        </w:pict>
      </w:r>
    </w:p>
    <w:bookmarkStart w:id="95" w:name="Footnote12"/>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"Footref12"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12</w:t>
      </w:r>
      <w:r w:rsidRPr="00014163">
        <w:rPr>
          <w:rFonts w:asciiTheme="majorHAnsi" w:eastAsia="Times New Roman" w:hAnsiTheme="majorHAnsi" w:cs="Times New Roman"/>
          <w:sz w:val="24"/>
          <w:szCs w:val="24"/>
        </w:rPr>
        <w:fldChar w:fldCharType="end"/>
      </w:r>
      <w:bookmarkEnd w:id="95"/>
      <w:r w:rsidR="00D62491" w:rsidRPr="00014163">
        <w:rPr>
          <w:rFonts w:asciiTheme="majorHAnsi" w:eastAsia="Times New Roman" w:hAnsiTheme="majorHAnsi" w:cs="Times New Roman"/>
          <w:sz w:val="24"/>
          <w:szCs w:val="24"/>
        </w:rPr>
        <w:t> – „Декларация относно специфичните особености на спорта и неговата социална функция в Европа“, Европейски съвет в Ница (7, 8 и 9 декември 2000 г.), заключения на председателството (точка 52 и приложение ІV, вж. по-специално точки 1, 7 и 17 от декларацията в приложението).</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37" style="width:0;height:1.5pt" o:hralign="center" o:hrstd="t" o:hrnoshade="t" o:hr="t" fillcolor="#333" stroked="f"/>
        </w:pict>
      </w:r>
    </w:p>
    <w:bookmarkStart w:id="96" w:name="Footnote13"/>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"Footref13"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13</w:t>
      </w:r>
      <w:r w:rsidRPr="00014163">
        <w:rPr>
          <w:rFonts w:asciiTheme="majorHAnsi" w:eastAsia="Times New Roman" w:hAnsiTheme="majorHAnsi" w:cs="Times New Roman"/>
          <w:sz w:val="24"/>
          <w:szCs w:val="24"/>
        </w:rPr>
        <w:fldChar w:fldCharType="end"/>
      </w:r>
      <w:bookmarkEnd w:id="96"/>
      <w:r w:rsidR="00D62491" w:rsidRPr="00014163">
        <w:rPr>
          <w:rFonts w:asciiTheme="majorHAnsi" w:eastAsia="Times New Roman" w:hAnsiTheme="majorHAnsi" w:cs="Times New Roman"/>
          <w:sz w:val="24"/>
          <w:szCs w:val="24"/>
        </w:rPr>
        <w:t xml:space="preserve"> – COM (2007) 391 окончателен, вж. </w:t>
      </w:r>
      <w:proofErr w:type="gramStart"/>
      <w:r w:rsidR="00D62491" w:rsidRPr="00014163">
        <w:rPr>
          <w:rFonts w:asciiTheme="majorHAnsi" w:eastAsia="Times New Roman" w:hAnsiTheme="majorHAnsi" w:cs="Times New Roman"/>
          <w:sz w:val="24"/>
          <w:szCs w:val="24"/>
        </w:rPr>
        <w:t>по-специално</w:t>
      </w:r>
      <w:proofErr w:type="gramEnd"/>
      <w:r w:rsidR="00D62491" w:rsidRPr="00014163">
        <w:rPr>
          <w:rFonts w:asciiTheme="majorHAnsi" w:eastAsia="Times New Roman" w:hAnsiTheme="majorHAnsi" w:cs="Times New Roman"/>
          <w:sz w:val="24"/>
          <w:szCs w:val="24"/>
        </w:rPr>
        <w:t xml:space="preserve"> въведението (стр. 2) и точка 4.1 (стр. 14 и сл.); вж. </w:t>
      </w:r>
      <w:proofErr w:type="gramStart"/>
      <w:r w:rsidR="00D62491" w:rsidRPr="00014163">
        <w:rPr>
          <w:rFonts w:asciiTheme="majorHAnsi" w:eastAsia="Times New Roman" w:hAnsiTheme="majorHAnsi" w:cs="Times New Roman"/>
          <w:sz w:val="24"/>
          <w:szCs w:val="24"/>
        </w:rPr>
        <w:t>също</w:t>
      </w:r>
      <w:proofErr w:type="gramEnd"/>
      <w:r w:rsidR="00D62491" w:rsidRPr="00014163">
        <w:rPr>
          <w:rFonts w:asciiTheme="majorHAnsi" w:eastAsia="Times New Roman" w:hAnsiTheme="majorHAnsi" w:cs="Times New Roman"/>
          <w:sz w:val="24"/>
          <w:szCs w:val="24"/>
        </w:rPr>
        <w:t xml:space="preserve"> така точка 3.4. </w:t>
      </w:r>
      <w:proofErr w:type="gramStart"/>
      <w:r w:rsidR="00D62491" w:rsidRPr="00014163">
        <w:rPr>
          <w:rFonts w:asciiTheme="majorHAnsi" w:eastAsia="Times New Roman" w:hAnsiTheme="majorHAnsi" w:cs="Times New Roman"/>
          <w:sz w:val="24"/>
          <w:szCs w:val="24"/>
        </w:rPr>
        <w:t>и</w:t>
      </w:r>
      <w:proofErr w:type="gramEnd"/>
      <w:r w:rsidR="00D62491" w:rsidRPr="00014163">
        <w:rPr>
          <w:rFonts w:asciiTheme="majorHAnsi" w:eastAsia="Times New Roman" w:hAnsiTheme="majorHAnsi" w:cs="Times New Roman"/>
          <w:sz w:val="24"/>
          <w:szCs w:val="24"/>
        </w:rPr>
        <w:t xml:space="preserve"> раздел 4 от публикувания към Бялата книга за спорта работен документ на Комисията от 11 юли 2007 г., „Commission Staff Working Document — The EU and Sport: Background and Context“, SEC (2007) 935. </w:t>
      </w:r>
      <w:proofErr w:type="gramStart"/>
      <w:r w:rsidR="00D62491" w:rsidRPr="00014163">
        <w:rPr>
          <w:rFonts w:asciiTheme="majorHAnsi" w:eastAsia="Times New Roman" w:hAnsiTheme="majorHAnsi" w:cs="Times New Roman"/>
          <w:sz w:val="24"/>
          <w:szCs w:val="24"/>
        </w:rPr>
        <w:t>Бялата книга и работният документ са достъпни на сайта http://ec.europa.eu/sport/index_en.html (последно посетен на 10 януари 2008 г.).</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38" style="width:0;height:1.5pt" o:hralign="center" o:hrstd="t" o:hrnoshade="t" o:hr="t" fillcolor="#333" stroked="f"/>
        </w:pict>
      </w:r>
    </w:p>
    <w:bookmarkStart w:id="97" w:name="Footnote14"/>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"Footref14"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14</w:t>
      </w:r>
      <w:r w:rsidRPr="00014163">
        <w:rPr>
          <w:rFonts w:asciiTheme="majorHAnsi" w:eastAsia="Times New Roman" w:hAnsiTheme="majorHAnsi" w:cs="Times New Roman"/>
          <w:sz w:val="24"/>
          <w:szCs w:val="24"/>
        </w:rPr>
        <w:fldChar w:fldCharType="end"/>
      </w:r>
      <w:bookmarkEnd w:id="97"/>
      <w:r w:rsidR="00D62491" w:rsidRPr="00014163">
        <w:rPr>
          <w:rFonts w:asciiTheme="majorHAnsi" w:eastAsia="Times New Roman" w:hAnsiTheme="majorHAnsi" w:cs="Times New Roman"/>
          <w:sz w:val="24"/>
          <w:szCs w:val="24"/>
        </w:rPr>
        <w:t> – Договор от Лисабон за изменение на Договора за Европейския съюз и на Договора за създаване на Европейската общност, подписан в Лисабон на 13 декември 2007 г. (ОВ C 306, 2007 г, стр. 1).</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39" style="width:0;height:1.5pt" o:hralign="center" o:hrstd="t" o:hrnoshade="t" o:hr="t" fillcolor="#333" stroked="f"/>
        </w:pict>
      </w:r>
    </w:p>
    <w:bookmarkStart w:id="98" w:name="Footnote15"/>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"Footref15"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15</w:t>
      </w:r>
      <w:r w:rsidRPr="00014163">
        <w:rPr>
          <w:rFonts w:asciiTheme="majorHAnsi" w:eastAsia="Times New Roman" w:hAnsiTheme="majorHAnsi" w:cs="Times New Roman"/>
          <w:sz w:val="24"/>
          <w:szCs w:val="24"/>
        </w:rPr>
        <w:fldChar w:fldCharType="end"/>
      </w:r>
      <w:bookmarkEnd w:id="98"/>
      <w:r w:rsidR="00D62491" w:rsidRPr="00014163">
        <w:rPr>
          <w:rFonts w:asciiTheme="majorHAnsi" w:eastAsia="Times New Roman" w:hAnsiTheme="majorHAnsi" w:cs="Times New Roman"/>
          <w:sz w:val="24"/>
          <w:szCs w:val="24"/>
        </w:rPr>
        <w:t> – Вж. по-специално член 6, буква д) и член 165 от бъдещия договор за функционирането на Европейския съюз съгласно новата му номерация; в същия смисъл вече и член І-17, буква д) и член ІІІ-282 от Договора за създаване на Конституция за Европа, подписан в Рим на 29 октомври 2004 г. (ОВ C 310, стр. 1).</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40" style="width:0;height:1.5pt" o:hralign="center" o:hrstd="t" o:hrnoshade="t" o:hr="t" fillcolor="#333" stroked="f"/>
        </w:pict>
      </w:r>
    </w:p>
    <w:bookmarkStart w:id="99" w:name="Footnote16"/>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"Footref16"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16</w:t>
      </w:r>
      <w:r w:rsidRPr="00014163">
        <w:rPr>
          <w:rFonts w:asciiTheme="majorHAnsi" w:eastAsia="Times New Roman" w:hAnsiTheme="majorHAnsi" w:cs="Times New Roman"/>
          <w:sz w:val="24"/>
          <w:szCs w:val="24"/>
        </w:rPr>
        <w:fldChar w:fldCharType="end"/>
      </w:r>
      <w:bookmarkEnd w:id="99"/>
      <w:r w:rsidR="00D62491" w:rsidRPr="00014163">
        <w:rPr>
          <w:rFonts w:asciiTheme="majorHAnsi" w:eastAsia="Times New Roman" w:hAnsiTheme="majorHAnsi" w:cs="Times New Roman"/>
          <w:sz w:val="24"/>
          <w:szCs w:val="24"/>
        </w:rPr>
        <w:t> – Решение от 18 юли 2006 г. по дело Meca-Medina и Majcen/Комисия (C-519/04 P, Recueil, стр. </w:t>
      </w:r>
      <w:proofErr w:type="gramStart"/>
      <w:r w:rsidR="00D62491" w:rsidRPr="00014163">
        <w:rPr>
          <w:rFonts w:asciiTheme="majorHAnsi" w:eastAsia="Times New Roman" w:hAnsiTheme="majorHAnsi" w:cs="Times New Roman"/>
          <w:sz w:val="24"/>
          <w:szCs w:val="24"/>
        </w:rPr>
        <w:t>I-6991, точка 22 и цитираната съдебна практика).</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41" style="width:0;height:1.5pt" o:hralign="center" o:hrstd="t" o:hrnoshade="t" o:hr="t" fillcolor="#333" stroked="f"/>
        </w:pict>
      </w:r>
    </w:p>
    <w:bookmarkStart w:id="100" w:name="Footnote17"/>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"Footref17"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17</w:t>
      </w:r>
      <w:r w:rsidRPr="00014163">
        <w:rPr>
          <w:rFonts w:asciiTheme="majorHAnsi" w:eastAsia="Times New Roman" w:hAnsiTheme="majorHAnsi" w:cs="Times New Roman"/>
          <w:sz w:val="24"/>
          <w:szCs w:val="24"/>
        </w:rPr>
        <w:fldChar w:fldCharType="end"/>
      </w:r>
      <w:bookmarkEnd w:id="100"/>
      <w:r w:rsidR="00D62491" w:rsidRPr="00014163">
        <w:rPr>
          <w:rFonts w:asciiTheme="majorHAnsi" w:eastAsia="Times New Roman" w:hAnsiTheme="majorHAnsi" w:cs="Times New Roman"/>
          <w:sz w:val="24"/>
          <w:szCs w:val="24"/>
        </w:rPr>
        <w:t xml:space="preserve"> – Тази съдебна практика и до днес не е загубила своята релевантност, доколкото става дума за определяне на границите на приложното поле на класическите основни свободи по Договора за ЕО или — както в случая — за определяне на границите на приложното поле на правилата в областта на конкуренцията. </w:t>
      </w:r>
      <w:proofErr w:type="gramStart"/>
      <w:r w:rsidR="00D62491" w:rsidRPr="00014163">
        <w:rPr>
          <w:rFonts w:asciiTheme="majorHAnsi" w:eastAsia="Times New Roman" w:hAnsiTheme="majorHAnsi" w:cs="Times New Roman"/>
          <w:sz w:val="24"/>
          <w:szCs w:val="24"/>
        </w:rPr>
        <w:t>Най-общо обаче следва да се има предвид, че началото на тази съдебна практика е положено още по времето, когато Общността е била по същество икономическа общност.</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 xml:space="preserve">В </w:t>
      </w:r>
      <w:r w:rsidR="00D62491" w:rsidRPr="00014163">
        <w:rPr>
          <w:rFonts w:asciiTheme="majorHAnsi" w:eastAsia="Times New Roman" w:hAnsiTheme="majorHAnsi" w:cs="Times New Roman"/>
          <w:sz w:val="24"/>
          <w:szCs w:val="24"/>
        </w:rPr>
        <w:lastRenderedPageBreak/>
        <w:t>резултат на въвеждането на гражданство на Съюза и на многобройните нови политики, а именно в областите на образованието и младежта, Договорът за ЕО днес включва и неикономически фактори на привързване за спорта.</w:t>
      </w:r>
      <w:proofErr w:type="gramEnd"/>
      <w:r w:rsidR="00D62491" w:rsidRPr="00014163">
        <w:rPr>
          <w:rFonts w:asciiTheme="majorHAnsi" w:eastAsia="Times New Roman" w:hAnsiTheme="majorHAnsi" w:cs="Times New Roman"/>
          <w:sz w:val="24"/>
          <w:szCs w:val="24"/>
        </w:rPr>
        <w:t xml:space="preserve"> Най-късно с влизането в сила на Договора от Лисабон ще остане извън съмнение, че спортът е от значение за Общността и извън икономическите си аспекти; това се подчертава с посочването му в дял ХІІ „Образование, професионална квалификация, младеж и спорт“ от бъдещия договор за функционирането на Европейския съюз.</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42" style="width:0;height:1.5pt" o:hralign="center" o:hrstd="t" o:hrnoshade="t" o:hr="t" fillcolor="#333" stroked="f"/>
        </w:pict>
      </w:r>
    </w:p>
    <w:bookmarkStart w:id="101" w:name="Footnote18"/>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"Footref18"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18</w:t>
      </w:r>
      <w:r w:rsidRPr="00014163">
        <w:rPr>
          <w:rFonts w:asciiTheme="majorHAnsi" w:eastAsia="Times New Roman" w:hAnsiTheme="majorHAnsi" w:cs="Times New Roman"/>
          <w:sz w:val="24"/>
          <w:szCs w:val="24"/>
        </w:rPr>
        <w:fldChar w:fldCharType="end"/>
      </w:r>
      <w:bookmarkEnd w:id="101"/>
      <w:r w:rsidR="00D62491" w:rsidRPr="00014163">
        <w:rPr>
          <w:rFonts w:asciiTheme="majorHAnsi" w:eastAsia="Times New Roman" w:hAnsiTheme="majorHAnsi" w:cs="Times New Roman"/>
          <w:sz w:val="24"/>
          <w:szCs w:val="24"/>
        </w:rPr>
        <w:t xml:space="preserve"> – Относно основните свободи по Договора за ЕО вж. </w:t>
      </w:r>
      <w:proofErr w:type="gramStart"/>
      <w:r w:rsidR="00D62491" w:rsidRPr="00014163">
        <w:rPr>
          <w:rFonts w:asciiTheme="majorHAnsi" w:eastAsia="Times New Roman" w:hAnsiTheme="majorHAnsi" w:cs="Times New Roman"/>
          <w:sz w:val="24"/>
          <w:szCs w:val="24"/>
        </w:rPr>
        <w:t>Решение от 12 декември 1974 г. по дело Walrave и Koch (36/74, стр. 1974, 1405), Решение от 14 юли 1976 г. по дело Donà (13/76, стр. 1976, 1333), Решение от 15 декември 1995 г. по дело Bosman (C</w:t>
      </w:r>
      <w:r w:rsidR="00D62491" w:rsidRPr="00014163">
        <w:rPr>
          <w:rFonts w:asciiTheme="majorHAnsi" w:eastAsia="Times New Roman" w:hAnsiTheme="majorHAnsi" w:cs="Times New Roman"/>
          <w:sz w:val="24"/>
          <w:szCs w:val="24"/>
        </w:rPr>
        <w:noBreakHyphen/>
        <w:t>415/93,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4921), Решение от 11 април 2000 г. по дело Deliège (C</w:t>
      </w:r>
      <w:r w:rsidR="00D62491" w:rsidRPr="00014163">
        <w:rPr>
          <w:rFonts w:asciiTheme="majorHAnsi" w:eastAsia="Times New Roman" w:hAnsiTheme="majorHAnsi" w:cs="Times New Roman"/>
          <w:sz w:val="24"/>
          <w:szCs w:val="24"/>
        </w:rPr>
        <w:noBreakHyphen/>
        <w:t>51/96 и C</w:t>
      </w:r>
      <w:r w:rsidR="00D62491" w:rsidRPr="00014163">
        <w:rPr>
          <w:rFonts w:asciiTheme="majorHAnsi" w:eastAsia="Times New Roman" w:hAnsiTheme="majorHAnsi" w:cs="Times New Roman"/>
          <w:sz w:val="24"/>
          <w:szCs w:val="24"/>
        </w:rPr>
        <w:noBreakHyphen/>
        <w:t>191/97, Recueil, стр.</w:t>
      </w:r>
      <w:proofErr w:type="gramEnd"/>
      <w:r w:rsidR="00D62491" w:rsidRPr="00014163">
        <w:rPr>
          <w:rFonts w:asciiTheme="majorHAnsi" w:eastAsia="Times New Roman" w:hAnsiTheme="majorHAnsi" w:cs="Times New Roman"/>
          <w:sz w:val="24"/>
          <w:szCs w:val="24"/>
        </w:rPr>
        <w:t> I</w:t>
      </w:r>
      <w:r w:rsidR="00D62491" w:rsidRPr="00014163">
        <w:rPr>
          <w:rFonts w:asciiTheme="majorHAnsi" w:eastAsia="Times New Roman" w:hAnsiTheme="majorHAnsi" w:cs="Times New Roman"/>
          <w:sz w:val="24"/>
          <w:szCs w:val="24"/>
        </w:rPr>
        <w:noBreakHyphen/>
        <w:t>2549), и Решение от 13 април 2000 г. по дело Lehtonen и Castors Braine (C</w:t>
      </w:r>
      <w:r w:rsidR="00D62491" w:rsidRPr="00014163">
        <w:rPr>
          <w:rFonts w:asciiTheme="majorHAnsi" w:eastAsia="Times New Roman" w:hAnsiTheme="majorHAnsi" w:cs="Times New Roman"/>
          <w:sz w:val="24"/>
          <w:szCs w:val="24"/>
        </w:rPr>
        <w:noBreakHyphen/>
        <w:t>176/96,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2681); относно съответните разпоредби в споразуменията за асоцииране вж.</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също</w:t>
      </w:r>
      <w:proofErr w:type="gramEnd"/>
      <w:r w:rsidR="00D62491" w:rsidRPr="00014163">
        <w:rPr>
          <w:rFonts w:asciiTheme="majorHAnsi" w:eastAsia="Times New Roman" w:hAnsiTheme="majorHAnsi" w:cs="Times New Roman"/>
          <w:sz w:val="24"/>
          <w:szCs w:val="24"/>
        </w:rPr>
        <w:t xml:space="preserve"> Решение от 8 май 2003 г. по дело Deutscher Handballbund (C</w:t>
      </w:r>
      <w:r w:rsidR="00D62491" w:rsidRPr="00014163">
        <w:rPr>
          <w:rFonts w:asciiTheme="majorHAnsi" w:eastAsia="Times New Roman" w:hAnsiTheme="majorHAnsi" w:cs="Times New Roman"/>
          <w:sz w:val="24"/>
          <w:szCs w:val="24"/>
        </w:rPr>
        <w:noBreakHyphen/>
        <w:t>438/00,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4135), и Решение от 12 април 2005 г. по дело Simutenkov (C</w:t>
      </w:r>
      <w:r w:rsidR="00D62491" w:rsidRPr="00014163">
        <w:rPr>
          <w:rFonts w:asciiTheme="majorHAnsi" w:eastAsia="Times New Roman" w:hAnsiTheme="majorHAnsi" w:cs="Times New Roman"/>
          <w:sz w:val="24"/>
          <w:szCs w:val="24"/>
        </w:rPr>
        <w:noBreakHyphen/>
        <w:t>265/03, Recueil, стр.</w:t>
      </w:r>
      <w:proofErr w:type="gramEnd"/>
      <w:r w:rsidR="00D62491" w:rsidRPr="00014163">
        <w:rPr>
          <w:rFonts w:asciiTheme="majorHAnsi" w:eastAsia="Times New Roman" w:hAnsiTheme="majorHAnsi" w:cs="Times New Roman"/>
          <w:sz w:val="24"/>
          <w:szCs w:val="24"/>
        </w:rPr>
        <w:t> I</w:t>
      </w:r>
      <w:r w:rsidR="00D62491" w:rsidRPr="00014163">
        <w:rPr>
          <w:rFonts w:asciiTheme="majorHAnsi" w:eastAsia="Times New Roman" w:hAnsiTheme="majorHAnsi" w:cs="Times New Roman"/>
          <w:sz w:val="24"/>
          <w:szCs w:val="24"/>
        </w:rPr>
        <w:noBreakHyphen/>
        <w:t>2579).</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43" style="width:0;height:1.5pt" o:hralign="center" o:hrstd="t" o:hrnoshade="t" o:hr="t" fillcolor="#333" stroked="f"/>
        </w:pict>
      </w:r>
    </w:p>
    <w:bookmarkStart w:id="102" w:name="Footnote19"/>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"Footref19"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19</w:t>
      </w:r>
      <w:r w:rsidRPr="00014163">
        <w:rPr>
          <w:rFonts w:asciiTheme="majorHAnsi" w:eastAsia="Times New Roman" w:hAnsiTheme="majorHAnsi" w:cs="Times New Roman"/>
          <w:sz w:val="24"/>
          <w:szCs w:val="24"/>
        </w:rPr>
        <w:fldChar w:fldCharType="end"/>
      </w:r>
      <w:bookmarkEnd w:id="102"/>
      <w:r w:rsidR="00D62491" w:rsidRPr="00014163">
        <w:rPr>
          <w:rFonts w:asciiTheme="majorHAnsi" w:eastAsia="Times New Roman" w:hAnsiTheme="majorHAnsi" w:cs="Times New Roman"/>
          <w:sz w:val="24"/>
          <w:szCs w:val="24"/>
        </w:rPr>
        <w:t> – Вж. Решение по дело Meca-Medina и Majcen, посочено в бележка под линия 16, а освен това и Решение на Първоинстанционния съд от 26 януари 2005 г. по дело Piau/Комисия (T-193/02, Recueil, стр. II-209, потвърдено с Решение на Съда от 23 февруари 2006 г. по дело Piau/Комисия, C</w:t>
      </w:r>
      <w:r w:rsidR="00D62491" w:rsidRPr="00014163">
        <w:rPr>
          <w:rFonts w:asciiTheme="majorHAnsi" w:eastAsia="Times New Roman" w:hAnsiTheme="majorHAnsi" w:cs="Times New Roman"/>
          <w:sz w:val="24"/>
          <w:szCs w:val="24"/>
        </w:rPr>
        <w:noBreakHyphen/>
        <w:t>171/05 P, Recueil, стр.I</w:t>
      </w:r>
      <w:r w:rsidR="00D62491" w:rsidRPr="00014163">
        <w:rPr>
          <w:rFonts w:asciiTheme="majorHAnsi" w:eastAsia="Times New Roman" w:hAnsiTheme="majorHAnsi" w:cs="Times New Roman"/>
          <w:sz w:val="24"/>
          <w:szCs w:val="24"/>
        </w:rPr>
        <w:noBreakHyphen/>
        <w:t xml:space="preserve">37). </w:t>
      </w:r>
      <w:proofErr w:type="gramStart"/>
      <w:r w:rsidR="00D62491" w:rsidRPr="00014163">
        <w:rPr>
          <w:rFonts w:asciiTheme="majorHAnsi" w:eastAsia="Times New Roman" w:hAnsiTheme="majorHAnsi" w:cs="Times New Roman"/>
          <w:sz w:val="24"/>
          <w:szCs w:val="24"/>
        </w:rPr>
        <w:t>Някои от генералните адвокати в Съда още преди това се бяха посветили на тази проблематика, вж.</w:t>
      </w:r>
      <w:proofErr w:type="gramEnd"/>
      <w:r w:rsidR="00D62491" w:rsidRPr="00014163">
        <w:rPr>
          <w:rFonts w:asciiTheme="majorHAnsi" w:eastAsia="Times New Roman" w:hAnsiTheme="majorHAnsi" w:cs="Times New Roman"/>
          <w:sz w:val="24"/>
          <w:szCs w:val="24"/>
        </w:rPr>
        <w:t xml:space="preserve"> по-специално заключението на генералния адвокат Lenz от 20 септември 1995 г. по дело Bosman (точки 253—286), заключението на генералния адвокат Cosmas от 18 март 1999 г. по дело Deliège (точки 103—114) и заключението на генералния адвокат Alber от 22 юни 1999 г. по дело Lehtonen и Castors Braine (точки 101—114), делата са посочени в бележка под линия 18.</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44" style="width:0;height:1.5pt" o:hralign="center" o:hrstd="t" o:hrnoshade="t" o:hr="t" fillcolor="#333" stroked="f"/>
        </w:pict>
      </w:r>
    </w:p>
    <w:bookmarkStart w:id="103" w:name="Footnote20"/>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"Footref20"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20</w:t>
      </w:r>
      <w:r w:rsidRPr="00014163">
        <w:rPr>
          <w:rFonts w:asciiTheme="majorHAnsi" w:eastAsia="Times New Roman" w:hAnsiTheme="majorHAnsi" w:cs="Times New Roman"/>
          <w:sz w:val="24"/>
          <w:szCs w:val="24"/>
        </w:rPr>
        <w:fldChar w:fldCharType="end"/>
      </w:r>
      <w:bookmarkEnd w:id="103"/>
      <w:r w:rsidR="00D62491" w:rsidRPr="00014163">
        <w:rPr>
          <w:rFonts w:asciiTheme="majorHAnsi" w:eastAsia="Times New Roman" w:hAnsiTheme="majorHAnsi" w:cs="Times New Roman"/>
          <w:sz w:val="24"/>
          <w:szCs w:val="24"/>
        </w:rPr>
        <w:t xml:space="preserve"> – Решение от 11 декември 2007 г. по дело ETI и др. </w:t>
      </w:r>
      <w:proofErr w:type="gramStart"/>
      <w:r w:rsidR="00D62491" w:rsidRPr="00014163">
        <w:rPr>
          <w:rFonts w:asciiTheme="majorHAnsi" w:eastAsia="Times New Roman" w:hAnsiTheme="majorHAnsi" w:cs="Times New Roman"/>
          <w:sz w:val="24"/>
          <w:szCs w:val="24"/>
        </w:rPr>
        <w:t>(C-280/06, Сборник, стр.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10893, точка 38).</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45" style="width:0;height:1.5pt" o:hralign="center" o:hrstd="t" o:hrnoshade="t" o:hr="t" fillcolor="#333" stroked="f"/>
        </w:pict>
      </w:r>
    </w:p>
    <w:bookmarkStart w:id="104" w:name="Footnote21"/>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"Footref21"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21</w:t>
      </w:r>
      <w:r w:rsidRPr="00014163">
        <w:rPr>
          <w:rFonts w:asciiTheme="majorHAnsi" w:eastAsia="Times New Roman" w:hAnsiTheme="majorHAnsi" w:cs="Times New Roman"/>
          <w:sz w:val="24"/>
          <w:szCs w:val="24"/>
        </w:rPr>
        <w:fldChar w:fldCharType="end"/>
      </w:r>
      <w:bookmarkEnd w:id="104"/>
      <w:r w:rsidR="00D62491" w:rsidRPr="00014163">
        <w:rPr>
          <w:rFonts w:asciiTheme="majorHAnsi" w:eastAsia="Times New Roman" w:hAnsiTheme="majorHAnsi" w:cs="Times New Roman"/>
          <w:sz w:val="24"/>
          <w:szCs w:val="24"/>
        </w:rPr>
        <w:t xml:space="preserve"> – Вж. например Решение от 23 април 1991 г. по дело Höfner и Elser (C-41/90, Recueil, стр.I-1979, точка 21), Решение от 16 март 2004 г. по дело AOK Bundesverband и др. </w:t>
      </w:r>
      <w:proofErr w:type="gramStart"/>
      <w:r w:rsidR="00D62491" w:rsidRPr="00014163">
        <w:rPr>
          <w:rFonts w:asciiTheme="majorHAnsi" w:eastAsia="Times New Roman" w:hAnsiTheme="majorHAnsi" w:cs="Times New Roman"/>
          <w:sz w:val="24"/>
          <w:szCs w:val="24"/>
        </w:rPr>
        <w:t>(C</w:t>
      </w:r>
      <w:r w:rsidR="00D62491" w:rsidRPr="00014163">
        <w:rPr>
          <w:rFonts w:asciiTheme="majorHAnsi" w:eastAsia="Times New Roman" w:hAnsiTheme="majorHAnsi" w:cs="Times New Roman"/>
          <w:sz w:val="24"/>
          <w:szCs w:val="24"/>
        </w:rPr>
        <w:noBreakHyphen/>
        <w:t>264/01, C</w:t>
      </w:r>
      <w:r w:rsidR="00D62491" w:rsidRPr="00014163">
        <w:rPr>
          <w:rFonts w:asciiTheme="majorHAnsi" w:eastAsia="Times New Roman" w:hAnsiTheme="majorHAnsi" w:cs="Times New Roman"/>
          <w:sz w:val="24"/>
          <w:szCs w:val="24"/>
        </w:rPr>
        <w:noBreakHyphen/>
        <w:t>306/01, C</w:t>
      </w:r>
      <w:r w:rsidR="00D62491" w:rsidRPr="00014163">
        <w:rPr>
          <w:rFonts w:asciiTheme="majorHAnsi" w:eastAsia="Times New Roman" w:hAnsiTheme="majorHAnsi" w:cs="Times New Roman"/>
          <w:sz w:val="24"/>
          <w:szCs w:val="24"/>
        </w:rPr>
        <w:noBreakHyphen/>
        <w:t>354/01 и C</w:t>
      </w:r>
      <w:r w:rsidR="00D62491" w:rsidRPr="00014163">
        <w:rPr>
          <w:rFonts w:asciiTheme="majorHAnsi" w:eastAsia="Times New Roman" w:hAnsiTheme="majorHAnsi" w:cs="Times New Roman"/>
          <w:sz w:val="24"/>
          <w:szCs w:val="24"/>
        </w:rPr>
        <w:noBreakHyphen/>
        <w:t>355/01, Recueil, стр.</w:t>
      </w:r>
      <w:proofErr w:type="gramEnd"/>
      <w:r w:rsidR="00D62491" w:rsidRPr="00014163">
        <w:rPr>
          <w:rFonts w:asciiTheme="majorHAnsi" w:eastAsia="Times New Roman" w:hAnsiTheme="majorHAnsi" w:cs="Times New Roman"/>
          <w:sz w:val="24"/>
          <w:szCs w:val="24"/>
        </w:rPr>
        <w:t xml:space="preserve"> I</w:t>
      </w:r>
      <w:r w:rsidR="00D62491" w:rsidRPr="00014163">
        <w:rPr>
          <w:rFonts w:asciiTheme="majorHAnsi" w:eastAsia="Times New Roman" w:hAnsiTheme="majorHAnsi" w:cs="Times New Roman"/>
          <w:sz w:val="24"/>
          <w:szCs w:val="24"/>
        </w:rPr>
        <w:noBreakHyphen/>
        <w:t xml:space="preserve">2493, точка 46), Решение от 10 януари 2006 г. по дело Cassa di Risparmio di Firenze и др. </w:t>
      </w:r>
      <w:proofErr w:type="gramStart"/>
      <w:r w:rsidR="00D62491" w:rsidRPr="00014163">
        <w:rPr>
          <w:rFonts w:asciiTheme="majorHAnsi" w:eastAsia="Times New Roman" w:hAnsiTheme="majorHAnsi" w:cs="Times New Roman"/>
          <w:sz w:val="24"/>
          <w:szCs w:val="24"/>
        </w:rPr>
        <w:t>(C</w:t>
      </w:r>
      <w:r w:rsidR="00D62491" w:rsidRPr="00014163">
        <w:rPr>
          <w:rFonts w:asciiTheme="majorHAnsi" w:eastAsia="Times New Roman" w:hAnsiTheme="majorHAnsi" w:cs="Times New Roman"/>
          <w:sz w:val="24"/>
          <w:szCs w:val="24"/>
        </w:rPr>
        <w:noBreakHyphen/>
        <w:t>222/04, Recueil, стр.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289, точка 107), Решение от 23 март 2006 г. по дело Enirisorse (C-237/04, Recueil, стр.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I-2843, точка 28) и Решение по дело ETI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20, точка 38).</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pict>
          <v:rect id="_x0000_i1046" style="width:0;height:1.5pt" o:hralign="center" o:hrstd="t" o:hrnoshade="t" o:hr="t" fillcolor="#333" stroked="f"/>
        </w:pict>
      </w:r>
    </w:p>
    <w:bookmarkStart w:id="105" w:name="Footnote22"/>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"Footref22"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22</w:t>
      </w:r>
      <w:r w:rsidRPr="00014163">
        <w:rPr>
          <w:rFonts w:asciiTheme="majorHAnsi" w:eastAsia="Times New Roman" w:hAnsiTheme="majorHAnsi" w:cs="Times New Roman"/>
          <w:sz w:val="24"/>
          <w:szCs w:val="24"/>
        </w:rPr>
        <w:fldChar w:fldCharType="end"/>
      </w:r>
      <w:bookmarkEnd w:id="105"/>
      <w:r w:rsidR="00D62491" w:rsidRPr="00014163">
        <w:rPr>
          <w:rFonts w:asciiTheme="majorHAnsi" w:eastAsia="Times New Roman" w:hAnsiTheme="majorHAnsi" w:cs="Times New Roman"/>
          <w:sz w:val="24"/>
          <w:szCs w:val="24"/>
        </w:rPr>
        <w:t xml:space="preserve"> – Решение от 19 февруари 2002 г. по дело Wouters и др. </w:t>
      </w:r>
      <w:proofErr w:type="gramStart"/>
      <w:r w:rsidR="00D62491" w:rsidRPr="00014163">
        <w:rPr>
          <w:rFonts w:asciiTheme="majorHAnsi" w:eastAsia="Times New Roman" w:hAnsiTheme="majorHAnsi" w:cs="Times New Roman"/>
          <w:sz w:val="24"/>
          <w:szCs w:val="24"/>
        </w:rPr>
        <w:t>(C-309/99,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I-1577, точка 112).</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47" style="width:0;height:1.5pt" o:hralign="center" o:hrstd="t" o:hrnoshade="t" o:hr="t" fillcolor="#333" stroked="f"/>
        </w:pict>
      </w:r>
    </w:p>
    <w:bookmarkStart w:id="106" w:name="Footnote23"/>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"Footref23"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23</w:t>
      </w:r>
      <w:r w:rsidRPr="00014163">
        <w:rPr>
          <w:rFonts w:asciiTheme="majorHAnsi" w:eastAsia="Times New Roman" w:hAnsiTheme="majorHAnsi" w:cs="Times New Roman"/>
          <w:sz w:val="24"/>
          <w:szCs w:val="24"/>
        </w:rPr>
        <w:fldChar w:fldCharType="end"/>
      </w:r>
      <w:bookmarkEnd w:id="106"/>
      <w:r w:rsidR="00D62491" w:rsidRPr="00014163">
        <w:rPr>
          <w:rFonts w:asciiTheme="majorHAnsi" w:eastAsia="Times New Roman" w:hAnsiTheme="majorHAnsi" w:cs="Times New Roman"/>
          <w:sz w:val="24"/>
          <w:szCs w:val="24"/>
        </w:rPr>
        <w:t> – Решение от 18 юни 1998 г. по дело Комисия/Италия (C-35/96, Recueil, стр. </w:t>
      </w:r>
      <w:proofErr w:type="gramStart"/>
      <w:r w:rsidR="00D62491" w:rsidRPr="00014163">
        <w:rPr>
          <w:rFonts w:asciiTheme="majorHAnsi" w:eastAsia="Times New Roman" w:hAnsiTheme="majorHAnsi" w:cs="Times New Roman"/>
          <w:sz w:val="24"/>
          <w:szCs w:val="24"/>
        </w:rPr>
        <w:t>I-3851, точка 36), Решение от 12 декември 2000 г. по дело Pavlov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(C-180/98 до C-184/98, Recueil, стр.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I-6451, точка 75), Решение от 25 октомври 2001 г. по дело Ambulanz Glöckner (C</w:t>
      </w:r>
      <w:r w:rsidR="00D62491" w:rsidRPr="00014163">
        <w:rPr>
          <w:rFonts w:asciiTheme="majorHAnsi" w:eastAsia="Times New Roman" w:hAnsiTheme="majorHAnsi" w:cs="Times New Roman"/>
          <w:sz w:val="24"/>
          <w:szCs w:val="24"/>
        </w:rPr>
        <w:noBreakHyphen/>
        <w:t>475/99,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8089, точка 19), Решение по дело Cassa di Risparmio di Firenze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21, точка 108) и Решение по дело Enirisorse (посочено в бележка под линия 21, точка 29).</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48" style="width:0;height:1.5pt" o:hralign="center" o:hrstd="t" o:hrnoshade="t" o:hr="t" fillcolor="#333" stroked="f"/>
        </w:pict>
      </w:r>
    </w:p>
    <w:bookmarkStart w:id="107" w:name="Footnote24"/>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"Footref24"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24</w:t>
      </w:r>
      <w:r w:rsidRPr="00014163">
        <w:rPr>
          <w:rFonts w:asciiTheme="majorHAnsi" w:eastAsia="Times New Roman" w:hAnsiTheme="majorHAnsi" w:cs="Times New Roman"/>
          <w:sz w:val="24"/>
          <w:szCs w:val="24"/>
        </w:rPr>
        <w:fldChar w:fldCharType="end"/>
      </w:r>
      <w:bookmarkEnd w:id="107"/>
      <w:r w:rsidR="00D62491" w:rsidRPr="00014163">
        <w:rPr>
          <w:rFonts w:asciiTheme="majorHAnsi" w:eastAsia="Times New Roman" w:hAnsiTheme="majorHAnsi" w:cs="Times New Roman"/>
          <w:sz w:val="24"/>
          <w:szCs w:val="24"/>
        </w:rPr>
        <w:t xml:space="preserve"> – В същия смисъл вж. </w:t>
      </w:r>
      <w:proofErr w:type="gramStart"/>
      <w:r w:rsidR="00D62491" w:rsidRPr="00014163">
        <w:rPr>
          <w:rFonts w:asciiTheme="majorHAnsi" w:eastAsia="Times New Roman" w:hAnsiTheme="majorHAnsi" w:cs="Times New Roman"/>
          <w:sz w:val="24"/>
          <w:szCs w:val="24"/>
        </w:rPr>
        <w:t>Решение по дело Enirisorse (посочено в бележка под линия 21, точка 30).</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49" style="width:0;height:1.5pt" o:hralign="center" o:hrstd="t" o:hrnoshade="t" o:hr="t" fillcolor="#333" stroked="f"/>
        </w:pict>
      </w:r>
    </w:p>
    <w:bookmarkStart w:id="108" w:name="Footnote25"/>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"Footref25"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25</w:t>
      </w:r>
      <w:r w:rsidRPr="00014163">
        <w:rPr>
          <w:rFonts w:asciiTheme="majorHAnsi" w:eastAsia="Times New Roman" w:hAnsiTheme="majorHAnsi" w:cs="Times New Roman"/>
          <w:sz w:val="24"/>
          <w:szCs w:val="24"/>
        </w:rPr>
        <w:fldChar w:fldCharType="end"/>
      </w:r>
      <w:bookmarkEnd w:id="108"/>
      <w:r w:rsidR="00D62491" w:rsidRPr="00014163">
        <w:rPr>
          <w:rFonts w:asciiTheme="majorHAnsi" w:eastAsia="Times New Roman" w:hAnsiTheme="majorHAnsi" w:cs="Times New Roman"/>
          <w:sz w:val="24"/>
          <w:szCs w:val="24"/>
        </w:rPr>
        <w:t xml:space="preserve"> – Тъй като ELPA е учредил ETHEAM специално за тази цел, дейността на ETHEAM следва да се причисли към дейността на ELPA (вж. Решение по дело Cassa di Risparmio di Firenze и </w:t>
      </w:r>
      <w:proofErr w:type="gramStart"/>
      <w:r w:rsidR="00D62491" w:rsidRPr="00014163">
        <w:rPr>
          <w:rFonts w:asciiTheme="majorHAnsi" w:eastAsia="Times New Roman" w:hAnsiTheme="majorHAnsi" w:cs="Times New Roman"/>
          <w:sz w:val="24"/>
          <w:szCs w:val="24"/>
        </w:rPr>
        <w:t>др.,</w:t>
      </w:r>
      <w:proofErr w:type="gramEnd"/>
      <w:r w:rsidR="00D62491" w:rsidRPr="00014163">
        <w:rPr>
          <w:rFonts w:asciiTheme="majorHAnsi" w:eastAsia="Times New Roman" w:hAnsiTheme="majorHAnsi" w:cs="Times New Roman"/>
          <w:sz w:val="24"/>
          <w:szCs w:val="24"/>
        </w:rPr>
        <w:t xml:space="preserve"> посочено в бележка под линия 21, точка 110 и сл.).</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50" style="width:0;height:1.5pt" o:hralign="center" o:hrstd="t" o:hrnoshade="t" o:hr="t" fillcolor="#333" stroked="f"/>
        </w:pict>
      </w:r>
    </w:p>
    <w:bookmarkStart w:id="109" w:name="Footnote26"/>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"Footref26"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26</w:t>
      </w:r>
      <w:r w:rsidRPr="00014163">
        <w:rPr>
          <w:rFonts w:asciiTheme="majorHAnsi" w:eastAsia="Times New Roman" w:hAnsiTheme="majorHAnsi" w:cs="Times New Roman"/>
          <w:sz w:val="24"/>
          <w:szCs w:val="24"/>
        </w:rPr>
        <w:fldChar w:fldCharType="end"/>
      </w:r>
      <w:bookmarkEnd w:id="109"/>
      <w:r w:rsidR="00D62491" w:rsidRPr="00014163">
        <w:rPr>
          <w:rFonts w:asciiTheme="majorHAnsi" w:eastAsia="Times New Roman" w:hAnsiTheme="majorHAnsi" w:cs="Times New Roman"/>
          <w:sz w:val="24"/>
          <w:szCs w:val="24"/>
        </w:rPr>
        <w:t> – Решение от 29 април 2004 г. по дело Orfanopoulos и Oliveri (C-482/01 и C-493/01, Recueil, стр. I-5257, точка 42), Решение от 30 юни 2005 г. по дело Tod’s и Tod’s France (C</w:t>
      </w:r>
      <w:r w:rsidR="00D62491" w:rsidRPr="00014163">
        <w:rPr>
          <w:rFonts w:asciiTheme="majorHAnsi" w:eastAsia="Times New Roman" w:hAnsiTheme="majorHAnsi" w:cs="Times New Roman"/>
          <w:sz w:val="24"/>
          <w:szCs w:val="24"/>
        </w:rPr>
        <w:noBreakHyphen/>
        <w:t>28/04, Recueil, стр. I</w:t>
      </w:r>
      <w:r w:rsidR="00D62491" w:rsidRPr="00014163">
        <w:rPr>
          <w:rFonts w:asciiTheme="majorHAnsi" w:eastAsia="Times New Roman" w:hAnsiTheme="majorHAnsi" w:cs="Times New Roman"/>
          <w:sz w:val="24"/>
          <w:szCs w:val="24"/>
        </w:rPr>
        <w:noBreakHyphen/>
        <w:t>5781, точка 14) и Решение от 12 януари 2006 г. по дело Turn- und Sportunion Waldburg (C-246/04, Recueil, стр. </w:t>
      </w:r>
      <w:proofErr w:type="gramStart"/>
      <w:r w:rsidR="00D62491" w:rsidRPr="00014163">
        <w:rPr>
          <w:rFonts w:asciiTheme="majorHAnsi" w:eastAsia="Times New Roman" w:hAnsiTheme="majorHAnsi" w:cs="Times New Roman"/>
          <w:sz w:val="24"/>
          <w:szCs w:val="24"/>
        </w:rPr>
        <w:t>I-589, точка 21).</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51" style="width:0;height:1.5pt" o:hralign="center" o:hrstd="t" o:hrnoshade="t" o:hr="t" fillcolor="#333" stroked="f"/>
        </w:pict>
      </w:r>
    </w:p>
    <w:bookmarkStart w:id="110" w:name="Footnote27"/>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"Footref27"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27</w:t>
      </w:r>
      <w:r w:rsidRPr="00014163">
        <w:rPr>
          <w:rFonts w:asciiTheme="majorHAnsi" w:eastAsia="Times New Roman" w:hAnsiTheme="majorHAnsi" w:cs="Times New Roman"/>
          <w:sz w:val="24"/>
          <w:szCs w:val="24"/>
        </w:rPr>
        <w:fldChar w:fldCharType="end"/>
      </w:r>
      <w:bookmarkEnd w:id="110"/>
      <w:r w:rsidR="00D62491" w:rsidRPr="00014163">
        <w:rPr>
          <w:rFonts w:asciiTheme="majorHAnsi" w:eastAsia="Times New Roman" w:hAnsiTheme="majorHAnsi" w:cs="Times New Roman"/>
          <w:sz w:val="24"/>
          <w:szCs w:val="24"/>
        </w:rPr>
        <w:t> – Вж. също точки 24—27 от настоящото заключение.</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52" style="width:0;height:1.5pt" o:hralign="center" o:hrstd="t" o:hrnoshade="t" o:hr="t" fillcolor="#333" stroked="f"/>
        </w:pict>
      </w:r>
    </w:p>
    <w:bookmarkStart w:id="111" w:name="Footnote28"/>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"Footref28"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28</w:t>
      </w:r>
      <w:r w:rsidRPr="00014163">
        <w:rPr>
          <w:rFonts w:asciiTheme="majorHAnsi" w:eastAsia="Times New Roman" w:hAnsiTheme="majorHAnsi" w:cs="Times New Roman"/>
          <w:sz w:val="24"/>
          <w:szCs w:val="24"/>
        </w:rPr>
        <w:fldChar w:fldCharType="end"/>
      </w:r>
      <w:bookmarkEnd w:id="111"/>
      <w:r w:rsidR="00D62491" w:rsidRPr="00014163">
        <w:rPr>
          <w:rFonts w:asciiTheme="majorHAnsi" w:eastAsia="Times New Roman" w:hAnsiTheme="majorHAnsi" w:cs="Times New Roman"/>
          <w:sz w:val="24"/>
          <w:szCs w:val="24"/>
        </w:rPr>
        <w:t xml:space="preserve"> – Решение по дело Bosman (точка 106), Решение по дело Deliège (точка 41) и Решение по дело Lehtonen и Castors Braine (точка 32), посочени в бележка под линия 18; вж. </w:t>
      </w:r>
      <w:proofErr w:type="gramStart"/>
      <w:r w:rsidR="00D62491" w:rsidRPr="00014163">
        <w:rPr>
          <w:rFonts w:asciiTheme="majorHAnsi" w:eastAsia="Times New Roman" w:hAnsiTheme="majorHAnsi" w:cs="Times New Roman"/>
          <w:sz w:val="24"/>
          <w:szCs w:val="24"/>
        </w:rPr>
        <w:t>също</w:t>
      </w:r>
      <w:proofErr w:type="gramEnd"/>
      <w:r w:rsidR="00D62491" w:rsidRPr="00014163">
        <w:rPr>
          <w:rFonts w:asciiTheme="majorHAnsi" w:eastAsia="Times New Roman" w:hAnsiTheme="majorHAnsi" w:cs="Times New Roman"/>
          <w:sz w:val="24"/>
          <w:szCs w:val="24"/>
        </w:rPr>
        <w:t xml:space="preserve"> Бялата книга за спорта, посочена в бележка под линия 13, чийто раздел 2 е посветен на обществената роля на спорта.</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53" style="width:0;height:1.5pt" o:hralign="center" o:hrstd="t" o:hrnoshade="t" o:hr="t" fillcolor="#333" stroked="f"/>
        </w:pict>
      </w:r>
    </w:p>
    <w:bookmarkStart w:id="112" w:name="Footnote29"/>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"Footref29"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29</w:t>
      </w:r>
      <w:r w:rsidRPr="00014163">
        <w:rPr>
          <w:rFonts w:asciiTheme="majorHAnsi" w:eastAsia="Times New Roman" w:hAnsiTheme="majorHAnsi" w:cs="Times New Roman"/>
          <w:sz w:val="24"/>
          <w:szCs w:val="24"/>
        </w:rPr>
        <w:fldChar w:fldCharType="end"/>
      </w:r>
      <w:bookmarkEnd w:id="112"/>
      <w:r w:rsidR="00D62491" w:rsidRPr="00014163">
        <w:rPr>
          <w:rFonts w:asciiTheme="majorHAnsi" w:eastAsia="Times New Roman" w:hAnsiTheme="majorHAnsi" w:cs="Times New Roman"/>
          <w:sz w:val="24"/>
          <w:szCs w:val="24"/>
        </w:rPr>
        <w:t> – От значение се явява анализът на всяка отделна дейност, както сочи и Решение по дело Meca-Medina и Majcen (посочено в бележка под линия 16, точки 28—31).</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pict>
          <v:rect id="_x0000_i1054" style="width:0;height:1.5pt" o:hralign="center" o:hrstd="t" o:hrnoshade="t" o:hr="t" fillcolor="#333" stroked="f"/>
        </w:pict>
      </w:r>
    </w:p>
    <w:bookmarkStart w:id="113" w:name="Footnote30"/>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"Footref30"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30</w:t>
      </w:r>
      <w:r w:rsidRPr="00014163">
        <w:rPr>
          <w:rFonts w:asciiTheme="majorHAnsi" w:eastAsia="Times New Roman" w:hAnsiTheme="majorHAnsi" w:cs="Times New Roman"/>
          <w:sz w:val="24"/>
          <w:szCs w:val="24"/>
        </w:rPr>
        <w:fldChar w:fldCharType="end"/>
      </w:r>
      <w:bookmarkEnd w:id="113"/>
      <w:r w:rsidR="00D62491" w:rsidRPr="00014163">
        <w:rPr>
          <w:rFonts w:asciiTheme="majorHAnsi" w:eastAsia="Times New Roman" w:hAnsiTheme="majorHAnsi" w:cs="Times New Roman"/>
          <w:sz w:val="24"/>
          <w:szCs w:val="24"/>
        </w:rPr>
        <w:t xml:space="preserve"> – Решение от 16 ноември 1995 г. по дело FFSA и др. </w:t>
      </w:r>
      <w:proofErr w:type="gramStart"/>
      <w:r w:rsidR="00D62491" w:rsidRPr="00014163">
        <w:rPr>
          <w:rFonts w:asciiTheme="majorHAnsi" w:eastAsia="Times New Roman" w:hAnsiTheme="majorHAnsi" w:cs="Times New Roman"/>
          <w:sz w:val="24"/>
          <w:szCs w:val="24"/>
        </w:rPr>
        <w:t>(C</w:t>
      </w:r>
      <w:r w:rsidR="00D62491" w:rsidRPr="00014163">
        <w:rPr>
          <w:rFonts w:asciiTheme="majorHAnsi" w:eastAsia="Times New Roman" w:hAnsiTheme="majorHAnsi" w:cs="Times New Roman"/>
          <w:sz w:val="24"/>
          <w:szCs w:val="24"/>
        </w:rPr>
        <w:noBreakHyphen/>
        <w:t>244/94,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4013, точки 17 и 18), Решение от 21 септември 1999 г. по дело Albany (C-67/96,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I-5751, точки 84—87) и Решение по дело Cassa di Risparmio di Firenze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21, точка 123).</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55" style="width:0;height:1.5pt" o:hralign="center" o:hrstd="t" o:hrnoshade="t" o:hr="t" fillcolor="#333" stroked="f"/>
        </w:pict>
      </w:r>
    </w:p>
    <w:bookmarkStart w:id="114" w:name="Footnote31"/>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"Footref31"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31</w:t>
      </w:r>
      <w:r w:rsidRPr="00014163">
        <w:rPr>
          <w:rFonts w:asciiTheme="majorHAnsi" w:eastAsia="Times New Roman" w:hAnsiTheme="majorHAnsi" w:cs="Times New Roman"/>
          <w:sz w:val="24"/>
          <w:szCs w:val="24"/>
        </w:rPr>
        <w:fldChar w:fldCharType="end"/>
      </w:r>
      <w:bookmarkEnd w:id="114"/>
      <w:r w:rsidR="00D62491" w:rsidRPr="00014163">
        <w:rPr>
          <w:rFonts w:asciiTheme="majorHAnsi" w:eastAsia="Times New Roman" w:hAnsiTheme="majorHAnsi" w:cs="Times New Roman"/>
          <w:sz w:val="24"/>
          <w:szCs w:val="24"/>
        </w:rPr>
        <w:t> – Решение по дело Cassa di Risparmio di Firenze и др.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21, точки 120 и 121).</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56" style="width:0;height:1.5pt" o:hralign="center" o:hrstd="t" o:hrnoshade="t" o:hr="t" fillcolor="#333" stroked="f"/>
        </w:pict>
      </w:r>
    </w:p>
    <w:bookmarkStart w:id="115" w:name="Footnote32"/>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"Footref32"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32</w:t>
      </w:r>
      <w:r w:rsidRPr="00014163">
        <w:rPr>
          <w:rFonts w:asciiTheme="majorHAnsi" w:eastAsia="Times New Roman" w:hAnsiTheme="majorHAnsi" w:cs="Times New Roman"/>
          <w:sz w:val="24"/>
          <w:szCs w:val="24"/>
        </w:rPr>
        <w:fldChar w:fldCharType="end"/>
      </w:r>
      <w:bookmarkEnd w:id="115"/>
      <w:r w:rsidR="00D62491" w:rsidRPr="00014163">
        <w:rPr>
          <w:rFonts w:asciiTheme="majorHAnsi" w:eastAsia="Times New Roman" w:hAnsiTheme="majorHAnsi" w:cs="Times New Roman"/>
          <w:sz w:val="24"/>
          <w:szCs w:val="24"/>
        </w:rPr>
        <w:t> – Решение по дело Wouters и др.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22, точка 57).</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57" style="width:0;height:1.5pt" o:hralign="center" o:hrstd="t" o:hrnoshade="t" o:hr="t" fillcolor="#333" stroked="f"/>
        </w:pict>
      </w:r>
    </w:p>
    <w:bookmarkStart w:id="116" w:name="Footnote33"/>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"Footref33"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33</w:t>
      </w:r>
      <w:r w:rsidRPr="00014163">
        <w:rPr>
          <w:rFonts w:asciiTheme="majorHAnsi" w:eastAsia="Times New Roman" w:hAnsiTheme="majorHAnsi" w:cs="Times New Roman"/>
          <w:sz w:val="24"/>
          <w:szCs w:val="24"/>
        </w:rPr>
        <w:fldChar w:fldCharType="end"/>
      </w:r>
      <w:bookmarkEnd w:id="116"/>
      <w:r w:rsidR="00D62491" w:rsidRPr="00014163">
        <w:rPr>
          <w:rFonts w:asciiTheme="majorHAnsi" w:eastAsia="Times New Roman" w:hAnsiTheme="majorHAnsi" w:cs="Times New Roman"/>
          <w:sz w:val="24"/>
          <w:szCs w:val="24"/>
        </w:rPr>
        <w:t> – Относно понятието „пазарна реализация</w:t>
      </w:r>
      <w:proofErr w:type="gramStart"/>
      <w:r w:rsidR="00D62491" w:rsidRPr="00014163">
        <w:rPr>
          <w:rFonts w:asciiTheme="majorHAnsi" w:eastAsia="Times New Roman" w:hAnsiTheme="majorHAnsi" w:cs="Times New Roman"/>
          <w:sz w:val="24"/>
          <w:szCs w:val="24"/>
        </w:rPr>
        <w:t>“ вж</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точки</w:t>
      </w:r>
      <w:proofErr w:type="gramEnd"/>
      <w:r w:rsidR="00D62491" w:rsidRPr="00014163">
        <w:rPr>
          <w:rFonts w:asciiTheme="majorHAnsi" w:eastAsia="Times New Roman" w:hAnsiTheme="majorHAnsi" w:cs="Times New Roman"/>
          <w:sz w:val="24"/>
          <w:szCs w:val="24"/>
        </w:rPr>
        <w:t xml:space="preserve"> 33 и 34 от настоящото заключение.</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58" style="width:0;height:1.5pt" o:hralign="center" o:hrstd="t" o:hrnoshade="t" o:hr="t" fillcolor="#333" stroked="f"/>
        </w:pict>
      </w:r>
    </w:p>
    <w:bookmarkStart w:id="117" w:name="Footnote34"/>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"Footref34"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34</w:t>
      </w:r>
      <w:r w:rsidRPr="00014163">
        <w:rPr>
          <w:rFonts w:asciiTheme="majorHAnsi" w:eastAsia="Times New Roman" w:hAnsiTheme="majorHAnsi" w:cs="Times New Roman"/>
          <w:sz w:val="24"/>
          <w:szCs w:val="24"/>
        </w:rPr>
        <w:fldChar w:fldCharType="end"/>
      </w:r>
      <w:bookmarkEnd w:id="117"/>
      <w:r w:rsidR="00D62491" w:rsidRPr="00014163">
        <w:rPr>
          <w:rFonts w:asciiTheme="majorHAnsi" w:eastAsia="Times New Roman" w:hAnsiTheme="majorHAnsi" w:cs="Times New Roman"/>
          <w:sz w:val="24"/>
          <w:szCs w:val="24"/>
        </w:rPr>
        <w:t xml:space="preserve"> – Относно социалната цел вж. </w:t>
      </w:r>
      <w:proofErr w:type="gramStart"/>
      <w:r w:rsidR="00D62491" w:rsidRPr="00014163">
        <w:rPr>
          <w:rFonts w:asciiTheme="majorHAnsi" w:eastAsia="Times New Roman" w:hAnsiTheme="majorHAnsi" w:cs="Times New Roman"/>
          <w:sz w:val="24"/>
          <w:szCs w:val="24"/>
        </w:rPr>
        <w:t>Решение по дело Pavlov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23, точка 118), Решение от 22 януари 2002 г. по дело Cisal (C</w:t>
      </w:r>
      <w:r w:rsidR="00D62491" w:rsidRPr="00014163">
        <w:rPr>
          <w:rFonts w:asciiTheme="majorHAnsi" w:eastAsia="Times New Roman" w:hAnsiTheme="majorHAnsi" w:cs="Times New Roman"/>
          <w:sz w:val="24"/>
          <w:szCs w:val="24"/>
        </w:rPr>
        <w:noBreakHyphen/>
        <w:t>218/00,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691, точка 37) и Решение по дело Cassa di Risparmio di Firenze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21, точка 124); в аналогичен смисъл вж. </w:t>
      </w:r>
      <w:proofErr w:type="gramStart"/>
      <w:r w:rsidR="00D62491" w:rsidRPr="00014163">
        <w:rPr>
          <w:rFonts w:asciiTheme="majorHAnsi" w:eastAsia="Times New Roman" w:hAnsiTheme="majorHAnsi" w:cs="Times New Roman"/>
          <w:sz w:val="24"/>
          <w:szCs w:val="24"/>
        </w:rPr>
        <w:t>и</w:t>
      </w:r>
      <w:proofErr w:type="gramEnd"/>
      <w:r w:rsidR="00D62491" w:rsidRPr="00014163">
        <w:rPr>
          <w:rFonts w:asciiTheme="majorHAnsi" w:eastAsia="Times New Roman" w:hAnsiTheme="majorHAnsi" w:cs="Times New Roman"/>
          <w:sz w:val="24"/>
          <w:szCs w:val="24"/>
        </w:rPr>
        <w:t xml:space="preserve"> Решение по дело Enirisorse (посочено в бележка под линия 21, точка 34); относно липсата на стопанска цел вж. Решение от 29 октомври 1980 г. по дело Van Landewyck и др</w:t>
      </w:r>
      <w:proofErr w:type="gramStart"/>
      <w:r w:rsidR="00D62491" w:rsidRPr="00014163">
        <w:rPr>
          <w:rFonts w:asciiTheme="majorHAnsi" w:eastAsia="Times New Roman" w:hAnsiTheme="majorHAnsi" w:cs="Times New Roman"/>
          <w:sz w:val="24"/>
          <w:szCs w:val="24"/>
        </w:rPr>
        <w:t>./</w:t>
      </w:r>
      <w:proofErr w:type="gramEnd"/>
      <w:r w:rsidR="00D62491" w:rsidRPr="00014163">
        <w:rPr>
          <w:rFonts w:asciiTheme="majorHAnsi" w:eastAsia="Times New Roman" w:hAnsiTheme="majorHAnsi" w:cs="Times New Roman"/>
          <w:sz w:val="24"/>
          <w:szCs w:val="24"/>
        </w:rPr>
        <w:t>Комисия (209/78—215/78 и 218/78, Recueil, стр. 3125, точка 88), Решение по дело FFSA и др.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30, точка 21), Решение по дело Albany (посочено в бележка под линия 30, точка 85), Решение по дело Pavlov и др.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23, точка 117), Решение по дело Cassa di Risparmio di Firenze и др.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21, точка 123) и Решение от 29 ноември 2007 г. по дело Комисия/Италия (C</w:t>
      </w:r>
      <w:r w:rsidR="00D62491" w:rsidRPr="00014163">
        <w:rPr>
          <w:rFonts w:asciiTheme="majorHAnsi" w:eastAsia="Times New Roman" w:hAnsiTheme="majorHAnsi" w:cs="Times New Roman"/>
          <w:sz w:val="24"/>
          <w:szCs w:val="24"/>
        </w:rPr>
        <w:noBreakHyphen/>
        <w:t xml:space="preserve">119/06, Сборник, стр. </w:t>
      </w:r>
      <w:proofErr w:type="gramStart"/>
      <w:r w:rsidR="00D62491" w:rsidRPr="00014163">
        <w:rPr>
          <w:rFonts w:asciiTheme="majorHAnsi" w:eastAsia="Times New Roman" w:hAnsiTheme="majorHAnsi" w:cs="Times New Roman"/>
          <w:sz w:val="24"/>
          <w:szCs w:val="24"/>
        </w:rPr>
        <w:t>І</w:t>
      </w:r>
      <w:r w:rsidR="00D62491" w:rsidRPr="00014163">
        <w:rPr>
          <w:rFonts w:asciiTheme="majorHAnsi" w:eastAsia="Times New Roman" w:hAnsiTheme="majorHAnsi" w:cs="Times New Roman"/>
          <w:sz w:val="24"/>
          <w:szCs w:val="24"/>
        </w:rPr>
        <w:noBreakHyphen/>
        <w:t>168, точка 37).</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59" style="width:0;height:1.5pt" o:hralign="center" o:hrstd="t" o:hrnoshade="t" o:hr="t" fillcolor="#333" stroked="f"/>
        </w:pict>
      </w:r>
    </w:p>
    <w:bookmarkStart w:id="118" w:name="Footnote35"/>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"Footref35"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35</w:t>
      </w:r>
      <w:r w:rsidRPr="00014163">
        <w:rPr>
          <w:rFonts w:asciiTheme="majorHAnsi" w:eastAsia="Times New Roman" w:hAnsiTheme="majorHAnsi" w:cs="Times New Roman"/>
          <w:sz w:val="24"/>
          <w:szCs w:val="24"/>
        </w:rPr>
        <w:fldChar w:fldCharType="end"/>
      </w:r>
      <w:bookmarkEnd w:id="118"/>
      <w:r w:rsidR="00D62491" w:rsidRPr="00014163">
        <w:rPr>
          <w:rFonts w:asciiTheme="majorHAnsi" w:eastAsia="Times New Roman" w:hAnsiTheme="majorHAnsi" w:cs="Times New Roman"/>
          <w:sz w:val="24"/>
          <w:szCs w:val="24"/>
        </w:rPr>
        <w:t> – Заключение на генералния адвокат Lenz по дело Bosman (посочено в бележка под линия 18, точка 255).</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60" style="width:0;height:1.5pt" o:hralign="center" o:hrstd="t" o:hrnoshade="t" o:hr="t" fillcolor="#333" stroked="f"/>
        </w:pict>
      </w:r>
    </w:p>
    <w:bookmarkStart w:id="119" w:name="Footnote36"/>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"Footref36"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36</w:t>
      </w:r>
      <w:r w:rsidRPr="00014163">
        <w:rPr>
          <w:rFonts w:asciiTheme="majorHAnsi" w:eastAsia="Times New Roman" w:hAnsiTheme="majorHAnsi" w:cs="Times New Roman"/>
          <w:sz w:val="24"/>
          <w:szCs w:val="24"/>
        </w:rPr>
        <w:fldChar w:fldCharType="end"/>
      </w:r>
      <w:bookmarkEnd w:id="119"/>
      <w:r w:rsidR="00D62491" w:rsidRPr="00014163">
        <w:rPr>
          <w:rFonts w:asciiTheme="majorHAnsi" w:eastAsia="Times New Roman" w:hAnsiTheme="majorHAnsi" w:cs="Times New Roman"/>
          <w:sz w:val="24"/>
          <w:szCs w:val="24"/>
        </w:rPr>
        <w:t> – Решение от 17 февруари 1993 г. по дело Poucet и Pistre (C-159/91 и C-160/91, Recueil, стр. </w:t>
      </w:r>
      <w:proofErr w:type="gramStart"/>
      <w:r w:rsidR="00D62491" w:rsidRPr="00014163">
        <w:rPr>
          <w:rFonts w:asciiTheme="majorHAnsi" w:eastAsia="Times New Roman" w:hAnsiTheme="majorHAnsi" w:cs="Times New Roman"/>
          <w:sz w:val="24"/>
          <w:szCs w:val="24"/>
        </w:rPr>
        <w:t>I-637), Решение по дело Cisal (посочено в бележка под линия 34), и Решение по дело AOK Bundesverband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21).</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61" style="width:0;height:1.5pt" o:hralign="center" o:hrstd="t" o:hrnoshade="t" o:hr="t" fillcolor="#333" stroked="f"/>
        </w:pict>
      </w:r>
    </w:p>
    <w:bookmarkStart w:id="120" w:name="Footnote37"/>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"Footref37"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37</w:t>
      </w:r>
      <w:r w:rsidRPr="00014163">
        <w:rPr>
          <w:rFonts w:asciiTheme="majorHAnsi" w:eastAsia="Times New Roman" w:hAnsiTheme="majorHAnsi" w:cs="Times New Roman"/>
          <w:sz w:val="24"/>
          <w:szCs w:val="24"/>
        </w:rPr>
        <w:fldChar w:fldCharType="end"/>
      </w:r>
      <w:bookmarkEnd w:id="120"/>
      <w:r w:rsidR="00D62491" w:rsidRPr="00014163">
        <w:rPr>
          <w:rFonts w:asciiTheme="majorHAnsi" w:eastAsia="Times New Roman" w:hAnsiTheme="majorHAnsi" w:cs="Times New Roman"/>
          <w:sz w:val="24"/>
          <w:szCs w:val="24"/>
        </w:rPr>
        <w:t> – Решение по дело Poucet и Pistre (посочено в бележка под линия 36, точки 18 и 19), Решение по дело Cisal (посочено в бележка под линия 34, точка 45) и Решение по дело AOK Bundesverband и др.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21 и по-специално точки 47 и 49).</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62" style="width:0;height:1.5pt" o:hralign="center" o:hrstd="t" o:hrnoshade="t" o:hr="t" fillcolor="#333" stroked="f"/>
        </w:pict>
      </w:r>
    </w:p>
    <w:bookmarkStart w:id="121" w:name="Footnote38"/>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"Footref38"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38</w:t>
      </w:r>
      <w:r w:rsidRPr="00014163">
        <w:rPr>
          <w:rFonts w:asciiTheme="majorHAnsi" w:eastAsia="Times New Roman" w:hAnsiTheme="majorHAnsi" w:cs="Times New Roman"/>
          <w:sz w:val="24"/>
          <w:szCs w:val="24"/>
        </w:rPr>
        <w:fldChar w:fldCharType="end"/>
      </w:r>
      <w:bookmarkEnd w:id="121"/>
      <w:r w:rsidR="00D62491" w:rsidRPr="00014163">
        <w:rPr>
          <w:rFonts w:asciiTheme="majorHAnsi" w:eastAsia="Times New Roman" w:hAnsiTheme="majorHAnsi" w:cs="Times New Roman"/>
          <w:sz w:val="24"/>
          <w:szCs w:val="24"/>
        </w:rPr>
        <w:t> – Решение от 19 януари 1994 г. по дело SAT Fluggesellschaft (C</w:t>
      </w:r>
      <w:r w:rsidR="00D62491" w:rsidRPr="00014163">
        <w:rPr>
          <w:rFonts w:asciiTheme="majorHAnsi" w:eastAsia="Times New Roman" w:hAnsiTheme="majorHAnsi" w:cs="Times New Roman"/>
          <w:sz w:val="24"/>
          <w:szCs w:val="24"/>
        </w:rPr>
        <w:noBreakHyphen/>
        <w:t>364/92,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43, точки 30 и 31), Решение от 18 март 1997 г. по дело Diego Calì &amp; Figli (C-343/95,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I-1547, точки 22 и 23), и Решение по дело Wouters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22, точка 57).</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63" style="width:0;height:1.5pt" o:hralign="center" o:hrstd="t" o:hrnoshade="t" o:hr="t" fillcolor="#333" stroked="f"/>
        </w:pict>
      </w:r>
    </w:p>
    <w:bookmarkStart w:id="122" w:name="Footnote39"/>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"Footref39"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39</w:t>
      </w:r>
      <w:r w:rsidRPr="00014163">
        <w:rPr>
          <w:rFonts w:asciiTheme="majorHAnsi" w:eastAsia="Times New Roman" w:hAnsiTheme="majorHAnsi" w:cs="Times New Roman"/>
          <w:sz w:val="24"/>
          <w:szCs w:val="24"/>
        </w:rPr>
        <w:fldChar w:fldCharType="end"/>
      </w:r>
      <w:bookmarkEnd w:id="122"/>
      <w:r w:rsidR="00D62491" w:rsidRPr="00014163">
        <w:rPr>
          <w:rFonts w:asciiTheme="majorHAnsi" w:eastAsia="Times New Roman" w:hAnsiTheme="majorHAnsi" w:cs="Times New Roman"/>
          <w:sz w:val="24"/>
          <w:szCs w:val="24"/>
        </w:rPr>
        <w:t> – В този смисъл вж. Решение от 16 юни 1987 г. по дело Комисия/Италия (118/85, Recueil, стр. 2599, точка 7), Решение по дело Diego Calì &amp; Figli (посочено в бележка под линия 38, точки 16 и 18) и Решение от 24 октомври 2002 г. по дело Aéroports de Paris/Комисия (C</w:t>
      </w:r>
      <w:r w:rsidR="00D62491" w:rsidRPr="00014163">
        <w:rPr>
          <w:rFonts w:asciiTheme="majorHAnsi" w:eastAsia="Times New Roman" w:hAnsiTheme="majorHAnsi" w:cs="Times New Roman"/>
          <w:sz w:val="24"/>
          <w:szCs w:val="24"/>
        </w:rPr>
        <w:noBreakHyphen/>
        <w:t>82/01 P,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9297, точки 74 и 75, второ изречение), освен това вж.</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моето</w:t>
      </w:r>
      <w:proofErr w:type="gramEnd"/>
      <w:r w:rsidR="00D62491" w:rsidRPr="00014163">
        <w:rPr>
          <w:rFonts w:asciiTheme="majorHAnsi" w:eastAsia="Times New Roman" w:hAnsiTheme="majorHAnsi" w:cs="Times New Roman"/>
          <w:sz w:val="24"/>
          <w:szCs w:val="24"/>
        </w:rPr>
        <w:t xml:space="preserve"> заключение от 28 октомври 2004 г. по дело Viacom Outdoor (C</w:t>
      </w:r>
      <w:r w:rsidR="00D62491" w:rsidRPr="00014163">
        <w:rPr>
          <w:rFonts w:asciiTheme="majorHAnsi" w:eastAsia="Times New Roman" w:hAnsiTheme="majorHAnsi" w:cs="Times New Roman"/>
          <w:sz w:val="24"/>
          <w:szCs w:val="24"/>
        </w:rPr>
        <w:noBreakHyphen/>
        <w:t>134/03,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1167, точка 72).</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64" style="width:0;height:1.5pt" o:hralign="center" o:hrstd="t" o:hrnoshade="t" o:hr="t" fillcolor="#333" stroked="f"/>
        </w:pict>
      </w:r>
    </w:p>
    <w:bookmarkStart w:id="123" w:name="Footnote40"/>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"Footref40"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40</w:t>
      </w:r>
      <w:r w:rsidRPr="00014163">
        <w:rPr>
          <w:rFonts w:asciiTheme="majorHAnsi" w:eastAsia="Times New Roman" w:hAnsiTheme="majorHAnsi" w:cs="Times New Roman"/>
          <w:sz w:val="24"/>
          <w:szCs w:val="24"/>
        </w:rPr>
        <w:fldChar w:fldCharType="end"/>
      </w:r>
      <w:bookmarkEnd w:id="123"/>
      <w:r w:rsidR="00D62491" w:rsidRPr="00014163">
        <w:rPr>
          <w:rFonts w:asciiTheme="majorHAnsi" w:eastAsia="Times New Roman" w:hAnsiTheme="majorHAnsi" w:cs="Times New Roman"/>
          <w:sz w:val="24"/>
          <w:szCs w:val="24"/>
        </w:rPr>
        <w:t> – Решение на Съда от 18 юни 1991 г. по дело ERT (C</w:t>
      </w:r>
      <w:r w:rsidR="00D62491" w:rsidRPr="00014163">
        <w:rPr>
          <w:rFonts w:asciiTheme="majorHAnsi" w:eastAsia="Times New Roman" w:hAnsiTheme="majorHAnsi" w:cs="Times New Roman"/>
          <w:sz w:val="24"/>
          <w:szCs w:val="24"/>
        </w:rPr>
        <w:noBreakHyphen/>
        <w:t>260/89,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2925, точка 31); в същия смисъл вж.</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Решение от 25 юни 1998 г. по дело Dusseldorp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(C-203/96,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I-4075, точка 60) и Решение от 22 май 2003 г. по дело Connect Austria (C</w:t>
      </w:r>
      <w:r w:rsidR="00D62491" w:rsidRPr="00014163">
        <w:rPr>
          <w:rFonts w:asciiTheme="majorHAnsi" w:eastAsia="Times New Roman" w:hAnsiTheme="majorHAnsi" w:cs="Times New Roman"/>
          <w:sz w:val="24"/>
          <w:szCs w:val="24"/>
        </w:rPr>
        <w:noBreakHyphen/>
        <w:t>462/99,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5197, точка 79), както и Решение на Първоинстанционния съд от 7 октомври 1999 г. по дело Irish Sugar/Комисия (T</w:t>
      </w:r>
      <w:r w:rsidR="00D62491" w:rsidRPr="00014163">
        <w:rPr>
          <w:rFonts w:asciiTheme="majorHAnsi" w:eastAsia="Times New Roman" w:hAnsiTheme="majorHAnsi" w:cs="Times New Roman"/>
          <w:sz w:val="24"/>
          <w:szCs w:val="24"/>
        </w:rPr>
        <w:noBreakHyphen/>
        <w:t>228/97,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II</w:t>
      </w:r>
      <w:r w:rsidR="00D62491" w:rsidRPr="00014163">
        <w:rPr>
          <w:rFonts w:asciiTheme="majorHAnsi" w:eastAsia="Times New Roman" w:hAnsiTheme="majorHAnsi" w:cs="Times New Roman"/>
          <w:sz w:val="24"/>
          <w:szCs w:val="24"/>
        </w:rPr>
        <w:noBreakHyphen/>
        <w:t>2969, точка 99).</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Дори и части от територии на държави-членки могат да представляват съществена част от общия пазар; вж.</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Решение по дело Ambulanz Glöckner (посочено в бележка под линия 23, точка 38).</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65" style="width:0;height:1.5pt" o:hralign="center" o:hrstd="t" o:hrnoshade="t" o:hr="t" fillcolor="#333" stroked="f"/>
        </w:pict>
      </w:r>
    </w:p>
    <w:bookmarkStart w:id="124" w:name="Footnote41"/>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"Footref41"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41</w:t>
      </w:r>
      <w:r w:rsidRPr="00014163">
        <w:rPr>
          <w:rFonts w:asciiTheme="majorHAnsi" w:eastAsia="Times New Roman" w:hAnsiTheme="majorHAnsi" w:cs="Times New Roman"/>
          <w:sz w:val="24"/>
          <w:szCs w:val="24"/>
        </w:rPr>
        <w:fldChar w:fldCharType="end"/>
      </w:r>
      <w:bookmarkEnd w:id="124"/>
      <w:r w:rsidR="00D62491" w:rsidRPr="00014163">
        <w:rPr>
          <w:rFonts w:asciiTheme="majorHAnsi" w:eastAsia="Times New Roman" w:hAnsiTheme="majorHAnsi" w:cs="Times New Roman"/>
          <w:sz w:val="24"/>
          <w:szCs w:val="24"/>
        </w:rPr>
        <w:t> – Решение от 14 февруари 1978 г. по дело United Brands/Комисия (27/76, Recueil, стр. 207, точка 65), Решение от 13 февруари 1979 г. по дело Hoffmann-La Roche/Комисия (85/76, Recueil, стр. 461, точка 38), Решение от 9 ноември 1983 г. по дело Michelin/Комисия (322/81, Recueil, стр. 3461, точка 30) и Решение от 16 март 2000 г. по дело Compagnie maritime belge transports и др./Комисия (C</w:t>
      </w:r>
      <w:r w:rsidR="00D62491" w:rsidRPr="00014163">
        <w:rPr>
          <w:rFonts w:asciiTheme="majorHAnsi" w:eastAsia="Times New Roman" w:hAnsiTheme="majorHAnsi" w:cs="Times New Roman"/>
          <w:sz w:val="24"/>
          <w:szCs w:val="24"/>
        </w:rPr>
        <w:noBreakHyphen/>
        <w:t>395/96 P и C</w:t>
      </w:r>
      <w:r w:rsidR="00D62491" w:rsidRPr="00014163">
        <w:rPr>
          <w:rFonts w:asciiTheme="majorHAnsi" w:eastAsia="Times New Roman" w:hAnsiTheme="majorHAnsi" w:cs="Times New Roman"/>
          <w:sz w:val="24"/>
          <w:szCs w:val="24"/>
        </w:rPr>
        <w:noBreakHyphen/>
        <w:t>396/96 P,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1365, точка 34).</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66" style="width:0;height:1.5pt" o:hralign="center" o:hrstd="t" o:hrnoshade="t" o:hr="t" fillcolor="#333" stroked="f"/>
        </w:pict>
      </w:r>
    </w:p>
    <w:bookmarkStart w:id="125" w:name="Footnote42"/>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"Footref42"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42</w:t>
      </w:r>
      <w:r w:rsidRPr="00014163">
        <w:rPr>
          <w:rFonts w:asciiTheme="majorHAnsi" w:eastAsia="Times New Roman" w:hAnsiTheme="majorHAnsi" w:cs="Times New Roman"/>
          <w:sz w:val="24"/>
          <w:szCs w:val="24"/>
        </w:rPr>
        <w:fldChar w:fldCharType="end"/>
      </w:r>
      <w:bookmarkEnd w:id="125"/>
      <w:r w:rsidR="00D62491" w:rsidRPr="00014163">
        <w:rPr>
          <w:rFonts w:asciiTheme="majorHAnsi" w:eastAsia="Times New Roman" w:hAnsiTheme="majorHAnsi" w:cs="Times New Roman"/>
          <w:sz w:val="24"/>
          <w:szCs w:val="24"/>
        </w:rPr>
        <w:t> – Вж. точка 56 от настоящото заключение.</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67" style="width:0;height:1.5pt" o:hralign="center" o:hrstd="t" o:hrnoshade="t" o:hr="t" fillcolor="#333" stroked="f"/>
        </w:pict>
      </w:r>
    </w:p>
    <w:bookmarkStart w:id="126" w:name="Footnote43"/>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"Footref43"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43</w:t>
      </w:r>
      <w:r w:rsidRPr="00014163">
        <w:rPr>
          <w:rFonts w:asciiTheme="majorHAnsi" w:eastAsia="Times New Roman" w:hAnsiTheme="majorHAnsi" w:cs="Times New Roman"/>
          <w:sz w:val="24"/>
          <w:szCs w:val="24"/>
        </w:rPr>
        <w:fldChar w:fldCharType="end"/>
      </w:r>
      <w:bookmarkEnd w:id="126"/>
      <w:r w:rsidR="00D62491" w:rsidRPr="00014163">
        <w:rPr>
          <w:rFonts w:asciiTheme="majorHAnsi" w:eastAsia="Times New Roman" w:hAnsiTheme="majorHAnsi" w:cs="Times New Roman"/>
          <w:sz w:val="24"/>
          <w:szCs w:val="24"/>
        </w:rPr>
        <w:t> – Решение от 13 юли 1966 г. по дело Consten и Grundig/Комисия (56/64 и 58/64, Recueil, стр. 429), Решение от 6 март 1974 г. по дело Istituto Chemioterapico Italiano и Commercial Solvents/ Комисия (6/73 и 7/73, Recueil, стр. 223, точка 31) и Решение по дело Ambulanz Glöckner (посочено в бележка под линия 23, точка 47).</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68" style="width:0;height:1.5pt" o:hralign="center" o:hrstd="t" o:hrnoshade="t" o:hr="t" fillcolor="#333" stroked="f"/>
        </w:pict>
      </w:r>
    </w:p>
    <w:bookmarkStart w:id="127" w:name="Footnote44"/>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"Footref44"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44</w:t>
      </w:r>
      <w:r w:rsidRPr="00014163">
        <w:rPr>
          <w:rFonts w:asciiTheme="majorHAnsi" w:eastAsia="Times New Roman" w:hAnsiTheme="majorHAnsi" w:cs="Times New Roman"/>
          <w:sz w:val="24"/>
          <w:szCs w:val="24"/>
        </w:rPr>
        <w:fldChar w:fldCharType="end"/>
      </w:r>
      <w:bookmarkEnd w:id="127"/>
      <w:r w:rsidR="00D62491" w:rsidRPr="00014163">
        <w:rPr>
          <w:rFonts w:asciiTheme="majorHAnsi" w:eastAsia="Times New Roman" w:hAnsiTheme="majorHAnsi" w:cs="Times New Roman"/>
          <w:sz w:val="24"/>
          <w:szCs w:val="24"/>
        </w:rPr>
        <w:t> – Решение по дело Ambulanz Glöckner (посочено в бележка под линия 23, точка 48), както и относно член 81 ЕО — Решение от 11 декември 1980 г. по дело L’Oréal (31/80, Recueil, стр. 3775, точка 18), Решение от 13 юли 2006 г. по дело Manfredi (C</w:t>
      </w:r>
      <w:r w:rsidR="00D62491" w:rsidRPr="00014163">
        <w:rPr>
          <w:rFonts w:asciiTheme="majorHAnsi" w:eastAsia="Times New Roman" w:hAnsiTheme="majorHAnsi" w:cs="Times New Roman"/>
          <w:sz w:val="24"/>
          <w:szCs w:val="24"/>
        </w:rPr>
        <w:noBreakHyphen/>
        <w:t>295/04,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6619, точка 42), Решение от 23 ноември 2006 г. по дело Asnef-Equifax (C</w:t>
      </w:r>
      <w:r w:rsidR="00D62491" w:rsidRPr="00014163">
        <w:rPr>
          <w:rFonts w:asciiTheme="majorHAnsi" w:eastAsia="Times New Roman" w:hAnsiTheme="majorHAnsi" w:cs="Times New Roman"/>
          <w:sz w:val="24"/>
          <w:szCs w:val="24"/>
        </w:rPr>
        <w:noBreakHyphen/>
        <w:t>238/05,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11125, точка 34) и Решение от 25 януари 2007 г. по дело Dalmine/Комисия (C</w:t>
      </w:r>
      <w:r w:rsidR="00D62491" w:rsidRPr="00014163">
        <w:rPr>
          <w:rFonts w:asciiTheme="majorHAnsi" w:eastAsia="Times New Roman" w:hAnsiTheme="majorHAnsi" w:cs="Times New Roman"/>
          <w:sz w:val="24"/>
          <w:szCs w:val="24"/>
        </w:rPr>
        <w:noBreakHyphen/>
        <w:t>407/04 P, Сборник,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835, точка 90).</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69" style="width:0;height:1.5pt" o:hralign="center" o:hrstd="t" o:hrnoshade="t" o:hr="t" fillcolor="#333" stroked="f"/>
        </w:pict>
      </w:r>
    </w:p>
    <w:bookmarkStart w:id="128" w:name="Footnote45"/>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"Footref45"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45</w:t>
      </w:r>
      <w:r w:rsidRPr="00014163">
        <w:rPr>
          <w:rFonts w:asciiTheme="majorHAnsi" w:eastAsia="Times New Roman" w:hAnsiTheme="majorHAnsi" w:cs="Times New Roman"/>
          <w:sz w:val="24"/>
          <w:szCs w:val="24"/>
        </w:rPr>
        <w:fldChar w:fldCharType="end"/>
      </w:r>
      <w:bookmarkEnd w:id="128"/>
      <w:r w:rsidR="00D62491" w:rsidRPr="00014163">
        <w:rPr>
          <w:rFonts w:asciiTheme="majorHAnsi" w:eastAsia="Times New Roman" w:hAnsiTheme="majorHAnsi" w:cs="Times New Roman"/>
          <w:sz w:val="24"/>
          <w:szCs w:val="24"/>
        </w:rPr>
        <w:t> – Решение по дело Michelin/Комисия (посочено в бележка под линия 41, точка 104), Решение по дело Höfner и Elser (посочено в бележка под линия 21, точка 32) и Решение от 11 декември 1997 г. по дело Job Centre (C-55/96, Recueil, стр. </w:t>
      </w:r>
      <w:proofErr w:type="gramStart"/>
      <w:r w:rsidR="00D62491" w:rsidRPr="00014163">
        <w:rPr>
          <w:rFonts w:asciiTheme="majorHAnsi" w:eastAsia="Times New Roman" w:hAnsiTheme="majorHAnsi" w:cs="Times New Roman"/>
          <w:sz w:val="24"/>
          <w:szCs w:val="24"/>
        </w:rPr>
        <w:t>I-7119, точка 36).</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70" style="width:0;height:1.5pt" o:hralign="center" o:hrstd="t" o:hrnoshade="t" o:hr="t" fillcolor="#333" stroked="f"/>
        </w:pict>
      </w:r>
    </w:p>
    <w:bookmarkStart w:id="129" w:name="Footnote46"/>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"Footref46"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46</w:t>
      </w:r>
      <w:r w:rsidRPr="00014163">
        <w:rPr>
          <w:rFonts w:asciiTheme="majorHAnsi" w:eastAsia="Times New Roman" w:hAnsiTheme="majorHAnsi" w:cs="Times New Roman"/>
          <w:sz w:val="24"/>
          <w:szCs w:val="24"/>
        </w:rPr>
        <w:fldChar w:fldCharType="end"/>
      </w:r>
      <w:bookmarkEnd w:id="129"/>
      <w:r w:rsidR="00D62491" w:rsidRPr="00014163">
        <w:rPr>
          <w:rFonts w:asciiTheme="majorHAnsi" w:eastAsia="Times New Roman" w:hAnsiTheme="majorHAnsi" w:cs="Times New Roman"/>
          <w:sz w:val="24"/>
          <w:szCs w:val="24"/>
        </w:rPr>
        <w:t> – Вж. точка 43 от Известие на Комисията „Насоки относно понятието за засягане на търговията, което се съдържа в членове 81 и 82 от Договора“ (ОВ C 101, 2004 г., стр. 81; Специално издание на български език, 2007 г., глава 8, том 1, стр. 149, наричано по-нататък „Насоките на Комисията“).</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71" style="width:0;height:1.5pt" o:hralign="center" o:hrstd="t" o:hrnoshade="t" o:hr="t" fillcolor="#333" stroked="f"/>
        </w:pict>
      </w:r>
    </w:p>
    <w:bookmarkStart w:id="130" w:name="Footnote47"/>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"Footref47"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47</w:t>
      </w:r>
      <w:r w:rsidRPr="00014163">
        <w:rPr>
          <w:rFonts w:asciiTheme="majorHAnsi" w:eastAsia="Times New Roman" w:hAnsiTheme="majorHAnsi" w:cs="Times New Roman"/>
          <w:sz w:val="24"/>
          <w:szCs w:val="24"/>
        </w:rPr>
        <w:fldChar w:fldCharType="end"/>
      </w:r>
      <w:bookmarkEnd w:id="130"/>
      <w:r w:rsidR="00D62491" w:rsidRPr="00014163">
        <w:rPr>
          <w:rFonts w:asciiTheme="majorHAnsi" w:eastAsia="Times New Roman" w:hAnsiTheme="majorHAnsi" w:cs="Times New Roman"/>
          <w:sz w:val="24"/>
          <w:szCs w:val="24"/>
        </w:rPr>
        <w:t> – Вж. например Решение по дело Manfredi и др. (</w:t>
      </w:r>
      <w:proofErr w:type="gramStart"/>
      <w:r w:rsidR="00D62491" w:rsidRPr="00014163">
        <w:rPr>
          <w:rFonts w:asciiTheme="majorHAnsi" w:eastAsia="Times New Roman" w:hAnsiTheme="majorHAnsi" w:cs="Times New Roman"/>
          <w:sz w:val="24"/>
          <w:szCs w:val="24"/>
        </w:rPr>
        <w:t>точки</w:t>
      </w:r>
      <w:proofErr w:type="gramEnd"/>
      <w:r w:rsidR="00D62491" w:rsidRPr="00014163">
        <w:rPr>
          <w:rFonts w:asciiTheme="majorHAnsi" w:eastAsia="Times New Roman" w:hAnsiTheme="majorHAnsi" w:cs="Times New Roman"/>
          <w:sz w:val="24"/>
          <w:szCs w:val="24"/>
        </w:rPr>
        <w:t xml:space="preserve"> 47 и 48) и Решение по дело Asnef-Equifax (точки 39 и 40), посочени в бележка под линия 44.</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72" style="width:0;height:1.5pt" o:hralign="center" o:hrstd="t" o:hrnoshade="t" o:hr="t" fillcolor="#333" stroked="f"/>
        </w:pict>
      </w:r>
    </w:p>
    <w:bookmarkStart w:id="131" w:name="Footnote48"/>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"Footref48"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48</w:t>
      </w:r>
      <w:r w:rsidRPr="00014163">
        <w:rPr>
          <w:rFonts w:asciiTheme="majorHAnsi" w:eastAsia="Times New Roman" w:hAnsiTheme="majorHAnsi" w:cs="Times New Roman"/>
          <w:sz w:val="24"/>
          <w:szCs w:val="24"/>
        </w:rPr>
        <w:fldChar w:fldCharType="end"/>
      </w:r>
      <w:bookmarkEnd w:id="131"/>
      <w:r w:rsidR="00D62491" w:rsidRPr="00014163">
        <w:rPr>
          <w:rFonts w:asciiTheme="majorHAnsi" w:eastAsia="Times New Roman" w:hAnsiTheme="majorHAnsi" w:cs="Times New Roman"/>
          <w:sz w:val="24"/>
          <w:szCs w:val="24"/>
        </w:rPr>
        <w:t> – Точка 10.7 от Националния правилник за мотоциклетните спортове (EAKM) (вж. точка 10 от настоящото заключение).</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73" style="width:0;height:1.5pt" o:hralign="center" o:hrstd="t" o:hrnoshade="t" o:hr="t" fillcolor="#333" stroked="f"/>
        </w:pict>
      </w:r>
    </w:p>
    <w:bookmarkStart w:id="132" w:name="Footnote49"/>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"Footref49"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49</w:t>
      </w:r>
      <w:r w:rsidRPr="00014163">
        <w:rPr>
          <w:rFonts w:asciiTheme="majorHAnsi" w:eastAsia="Times New Roman" w:hAnsiTheme="majorHAnsi" w:cs="Times New Roman"/>
          <w:sz w:val="24"/>
          <w:szCs w:val="24"/>
        </w:rPr>
        <w:fldChar w:fldCharType="end"/>
      </w:r>
      <w:bookmarkEnd w:id="132"/>
      <w:r w:rsidR="00D62491" w:rsidRPr="00014163">
        <w:rPr>
          <w:rFonts w:asciiTheme="majorHAnsi" w:eastAsia="Times New Roman" w:hAnsiTheme="majorHAnsi" w:cs="Times New Roman"/>
          <w:sz w:val="24"/>
          <w:szCs w:val="24"/>
        </w:rPr>
        <w:t xml:space="preserve"> – Решение от 21 януари 1999 г. по дело Bagnasco и др. </w:t>
      </w:r>
      <w:proofErr w:type="gramStart"/>
      <w:r w:rsidR="00D62491" w:rsidRPr="00014163">
        <w:rPr>
          <w:rFonts w:asciiTheme="majorHAnsi" w:eastAsia="Times New Roman" w:hAnsiTheme="majorHAnsi" w:cs="Times New Roman"/>
          <w:sz w:val="24"/>
          <w:szCs w:val="24"/>
        </w:rPr>
        <w:t>(C</w:t>
      </w:r>
      <w:r w:rsidR="00D62491" w:rsidRPr="00014163">
        <w:rPr>
          <w:rFonts w:asciiTheme="majorHAnsi" w:eastAsia="Times New Roman" w:hAnsiTheme="majorHAnsi" w:cs="Times New Roman"/>
          <w:sz w:val="24"/>
          <w:szCs w:val="24"/>
        </w:rPr>
        <w:noBreakHyphen/>
        <w:t>215/96 и C</w:t>
      </w:r>
      <w:r w:rsidR="00D62491" w:rsidRPr="00014163">
        <w:rPr>
          <w:rFonts w:asciiTheme="majorHAnsi" w:eastAsia="Times New Roman" w:hAnsiTheme="majorHAnsi" w:cs="Times New Roman"/>
          <w:sz w:val="24"/>
          <w:szCs w:val="24"/>
        </w:rPr>
        <w:noBreakHyphen/>
        <w:t>216/96,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135, точка 60), Решение по дело Ambulanz Glöckner (посочено в бележка под линия 23, точка 48), както и относно член 81 ЕО — Решение от 25 ноември 1971 г. по дело Béguelin (22/71, Recueil, стр. 949, точка 16), Решение от 28 април 1998 г. по дело Javico (C</w:t>
      </w:r>
      <w:r w:rsidR="00D62491" w:rsidRPr="00014163">
        <w:rPr>
          <w:rFonts w:asciiTheme="majorHAnsi" w:eastAsia="Times New Roman" w:hAnsiTheme="majorHAnsi" w:cs="Times New Roman"/>
          <w:sz w:val="24"/>
          <w:szCs w:val="24"/>
        </w:rPr>
        <w:noBreakHyphen/>
        <w:t>306/96,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1983, точка 16), Решение по дело Manfredi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43, точка 42), Решение по дело Asnef-Equifax (посочено в бележка под линия 44, точка 34) и Решение по дело Dalmine/Комисия (посочено в бележка под линия 44, точка 90).</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pict>
          <v:rect id="_x0000_i1074" style="width:0;height:1.5pt" o:hralign="center" o:hrstd="t" o:hrnoshade="t" o:hr="t" fillcolor="#333" stroked="f"/>
        </w:pict>
      </w:r>
    </w:p>
    <w:bookmarkStart w:id="133" w:name="Footnote50"/>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"Footref50"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50</w:t>
      </w:r>
      <w:r w:rsidRPr="00014163">
        <w:rPr>
          <w:rFonts w:asciiTheme="majorHAnsi" w:eastAsia="Times New Roman" w:hAnsiTheme="majorHAnsi" w:cs="Times New Roman"/>
          <w:sz w:val="24"/>
          <w:szCs w:val="24"/>
        </w:rPr>
        <w:fldChar w:fldCharType="end"/>
      </w:r>
      <w:bookmarkEnd w:id="133"/>
      <w:r w:rsidR="00D62491" w:rsidRPr="00014163">
        <w:rPr>
          <w:rFonts w:asciiTheme="majorHAnsi" w:eastAsia="Times New Roman" w:hAnsiTheme="majorHAnsi" w:cs="Times New Roman"/>
          <w:sz w:val="24"/>
          <w:szCs w:val="24"/>
        </w:rPr>
        <w:t> – Решение по дело Bagnasco и др.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49, точка 47), Решение по дело Manfredi и др.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44, точка 43) и Решение по дело Asnef-Equifax (посочено в бележка под линия 44, точка 35).</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75" style="width:0;height:1.5pt" o:hralign="center" o:hrstd="t" o:hrnoshade="t" o:hr="t" fillcolor="#333" stroked="f"/>
        </w:pict>
      </w:r>
    </w:p>
    <w:bookmarkStart w:id="134" w:name="Footnote51"/>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"Footref51"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51</w:t>
      </w:r>
      <w:r w:rsidRPr="00014163">
        <w:rPr>
          <w:rFonts w:asciiTheme="majorHAnsi" w:eastAsia="Times New Roman" w:hAnsiTheme="majorHAnsi" w:cs="Times New Roman"/>
          <w:sz w:val="24"/>
          <w:szCs w:val="24"/>
        </w:rPr>
        <w:fldChar w:fldCharType="end"/>
      </w:r>
      <w:bookmarkEnd w:id="134"/>
      <w:r w:rsidR="00D62491" w:rsidRPr="00014163">
        <w:rPr>
          <w:rFonts w:asciiTheme="majorHAnsi" w:eastAsia="Times New Roman" w:hAnsiTheme="majorHAnsi" w:cs="Times New Roman"/>
          <w:sz w:val="24"/>
          <w:szCs w:val="24"/>
        </w:rPr>
        <w:t> – Решение от 16 декември 1975 г. по дело Suiker Unie и др./Комисия (40/73—48/73, 50/73, 54/73—56/73, 111/73, 113/73 и 114/73, Recueil, стр. 1663, точка 371), Решение от 10 декември 1991 г. по дело Merci convenzionali porto di Genova (C</w:t>
      </w:r>
      <w:r w:rsidR="00D62491" w:rsidRPr="00014163">
        <w:rPr>
          <w:rFonts w:asciiTheme="majorHAnsi" w:eastAsia="Times New Roman" w:hAnsiTheme="majorHAnsi" w:cs="Times New Roman"/>
          <w:sz w:val="24"/>
          <w:szCs w:val="24"/>
        </w:rPr>
        <w:noBreakHyphen/>
        <w:t>179/90,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5889, точка 15, второ изречение) и Решение от 12 февруари 1998 г. по дело Raso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(C</w:t>
      </w:r>
      <w:r w:rsidR="00D62491" w:rsidRPr="00014163">
        <w:rPr>
          <w:rFonts w:asciiTheme="majorHAnsi" w:eastAsia="Times New Roman" w:hAnsiTheme="majorHAnsi" w:cs="Times New Roman"/>
          <w:sz w:val="24"/>
          <w:szCs w:val="24"/>
        </w:rPr>
        <w:noBreakHyphen/>
        <w:t>163/96,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533, точка 26, второ изречение).</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76" style="width:0;height:1.5pt" o:hralign="center" o:hrstd="t" o:hrnoshade="t" o:hr="t" fillcolor="#333" stroked="f"/>
        </w:pict>
      </w:r>
    </w:p>
    <w:p w:rsidR="00D62491" w:rsidRPr="00014163" w:rsidRDefault="00D62491"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proofErr w:type="gramStart"/>
      <w:r w:rsidRPr="00014163">
        <w:rPr>
          <w:rFonts w:asciiTheme="majorHAnsi" w:eastAsia="Times New Roman" w:hAnsiTheme="majorHAnsi" w:cs="Times New Roman"/>
          <w:sz w:val="24"/>
          <w:szCs w:val="24"/>
        </w:rPr>
        <w:t>Сам по себе си общият обем на пазара обаче изобщо не е определящ при преценката дали става дума за съществена част от общия пазар.</w:t>
      </w:r>
      <w:proofErr w:type="gramEnd"/>
      <w:r w:rsidRPr="00014163">
        <w:rPr>
          <w:rFonts w:asciiTheme="majorHAnsi" w:eastAsia="Times New Roman" w:hAnsiTheme="majorHAnsi" w:cs="Times New Roman"/>
          <w:sz w:val="24"/>
          <w:szCs w:val="24"/>
        </w:rPr>
        <w:t xml:space="preserve"> </w:t>
      </w:r>
      <w:proofErr w:type="gramStart"/>
      <w:r w:rsidRPr="00014163">
        <w:rPr>
          <w:rFonts w:asciiTheme="majorHAnsi" w:eastAsia="Times New Roman" w:hAnsiTheme="majorHAnsi" w:cs="Times New Roman"/>
          <w:sz w:val="24"/>
          <w:szCs w:val="24"/>
        </w:rPr>
        <w:t>Както посочих по-горе, в настоящия случай въз основа на географския обхват на съответните пазари, който съответства на територията на една държава-членка, може да се заключи, че става дума за съществена част от общия пазар (вж. точка 57 от настоящото заключение и цитираната там съдебна практика).</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77" style="width:0;height:1.5pt" o:hralign="center" o:hrstd="t" o:hrnoshade="t" o:hr="t" fillcolor="#333" stroked="f"/>
        </w:pict>
      </w:r>
    </w:p>
    <w:bookmarkStart w:id="135" w:name="Footnote52"/>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"Footref52"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52</w:t>
      </w:r>
      <w:r w:rsidRPr="00014163">
        <w:rPr>
          <w:rFonts w:asciiTheme="majorHAnsi" w:eastAsia="Times New Roman" w:hAnsiTheme="majorHAnsi" w:cs="Times New Roman"/>
          <w:sz w:val="24"/>
          <w:szCs w:val="24"/>
        </w:rPr>
        <w:fldChar w:fldCharType="end"/>
      </w:r>
      <w:bookmarkEnd w:id="135"/>
      <w:r w:rsidR="00D62491" w:rsidRPr="00014163">
        <w:rPr>
          <w:rFonts w:asciiTheme="majorHAnsi" w:eastAsia="Times New Roman" w:hAnsiTheme="majorHAnsi" w:cs="Times New Roman"/>
          <w:sz w:val="24"/>
          <w:szCs w:val="24"/>
        </w:rPr>
        <w:t xml:space="preserve"> – В този смисъл вж. </w:t>
      </w:r>
      <w:proofErr w:type="gramStart"/>
      <w:r w:rsidR="00D62491" w:rsidRPr="00014163">
        <w:rPr>
          <w:rFonts w:asciiTheme="majorHAnsi" w:eastAsia="Times New Roman" w:hAnsiTheme="majorHAnsi" w:cs="Times New Roman"/>
          <w:sz w:val="24"/>
          <w:szCs w:val="24"/>
        </w:rPr>
        <w:t>Решение по дело Javico (посочено в бележка под линия 49, точка 26).</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Вж. и Насоките на Комисията, в точка 52 от които — във връзка с член 81 ЕО — като определящи фактори са посочени пазарният дял и годишният оборот на съответните предприятия по отношение на засегнатите с дадено споразумение пазари и/или продукти.</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78" style="width:0;height:1.5pt" o:hralign="center" o:hrstd="t" o:hrnoshade="t" o:hr="t" fillcolor="#333" stroked="f"/>
        </w:pict>
      </w:r>
    </w:p>
    <w:bookmarkStart w:id="136" w:name="Footnote53"/>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"Footref53"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53</w:t>
      </w:r>
      <w:r w:rsidRPr="00014163">
        <w:rPr>
          <w:rFonts w:asciiTheme="majorHAnsi" w:eastAsia="Times New Roman" w:hAnsiTheme="majorHAnsi" w:cs="Times New Roman"/>
          <w:sz w:val="24"/>
          <w:szCs w:val="24"/>
        </w:rPr>
        <w:fldChar w:fldCharType="end"/>
      </w:r>
      <w:bookmarkEnd w:id="136"/>
      <w:r w:rsidR="00D62491" w:rsidRPr="00014163">
        <w:rPr>
          <w:rFonts w:asciiTheme="majorHAnsi" w:eastAsia="Times New Roman" w:hAnsiTheme="majorHAnsi" w:cs="Times New Roman"/>
          <w:sz w:val="24"/>
          <w:szCs w:val="24"/>
        </w:rPr>
        <w:t> – Вж. и Насоките на Комисията, точка 45.</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79" style="width:0;height:1.5pt" o:hralign="center" o:hrstd="t" o:hrnoshade="t" o:hr="t" fillcolor="#333" stroked="f"/>
        </w:pict>
      </w:r>
    </w:p>
    <w:bookmarkStart w:id="137" w:name="Footnote54"/>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"Footref54"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54</w:t>
      </w:r>
      <w:r w:rsidRPr="00014163">
        <w:rPr>
          <w:rFonts w:asciiTheme="majorHAnsi" w:eastAsia="Times New Roman" w:hAnsiTheme="majorHAnsi" w:cs="Times New Roman"/>
          <w:sz w:val="24"/>
          <w:szCs w:val="24"/>
        </w:rPr>
        <w:fldChar w:fldCharType="end"/>
      </w:r>
      <w:bookmarkEnd w:id="137"/>
      <w:r w:rsidR="00D62491" w:rsidRPr="00014163">
        <w:rPr>
          <w:rFonts w:asciiTheme="majorHAnsi" w:eastAsia="Times New Roman" w:hAnsiTheme="majorHAnsi" w:cs="Times New Roman"/>
          <w:sz w:val="24"/>
          <w:szCs w:val="24"/>
        </w:rPr>
        <w:t> – Решение от 31 май 1979 г. по дело Hugin Kassaregister и Hugin Cash Registers/Комисия (22/78, Recueil, стр. 1869, точка 17), Решение по дело Ambulanz Glöckner (посочено в бележка под линия 23, точки 47 и 49), Решение по дело Manfredi и др.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44, точка 41), Решение по дело Asnef-Equifax (посочено в бележка под линия 44, точка 33) и Решение по дело Dalmine/Комисия (посочено в бележка под линия 44, точки 89 и 91); в същия смисъл вж. </w:t>
      </w:r>
      <w:proofErr w:type="gramStart"/>
      <w:r w:rsidR="00D62491" w:rsidRPr="00014163">
        <w:rPr>
          <w:rFonts w:asciiTheme="majorHAnsi" w:eastAsia="Times New Roman" w:hAnsiTheme="majorHAnsi" w:cs="Times New Roman"/>
          <w:sz w:val="24"/>
          <w:szCs w:val="24"/>
        </w:rPr>
        <w:t>Решение от 4 май 1988 г. по дело Bodson (30/87, Recueil, стр. 2479, точка 24) и Решение от 5 октомври 1988 г. по дело Alsatel (247/86, Recueil, стр. 5987, точка 11).</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80" style="width:0;height:1.5pt" o:hralign="center" o:hrstd="t" o:hrnoshade="t" o:hr="t" fillcolor="#333" stroked="f"/>
        </w:pict>
      </w:r>
    </w:p>
    <w:bookmarkStart w:id="138" w:name="Footnote55"/>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"Footref55"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55</w:t>
      </w:r>
      <w:r w:rsidRPr="00014163">
        <w:rPr>
          <w:rFonts w:asciiTheme="majorHAnsi" w:eastAsia="Times New Roman" w:hAnsiTheme="majorHAnsi" w:cs="Times New Roman"/>
          <w:sz w:val="24"/>
          <w:szCs w:val="24"/>
        </w:rPr>
        <w:fldChar w:fldCharType="end"/>
      </w:r>
      <w:bookmarkEnd w:id="138"/>
      <w:r w:rsidR="00D62491" w:rsidRPr="00014163">
        <w:rPr>
          <w:rFonts w:asciiTheme="majorHAnsi" w:eastAsia="Times New Roman" w:hAnsiTheme="majorHAnsi" w:cs="Times New Roman"/>
          <w:sz w:val="24"/>
          <w:szCs w:val="24"/>
        </w:rPr>
        <w:t xml:space="preserve"> – В същия смисъл, но по отношение на картели, които обхващат цялата територия на дадена държава-членка, вж. </w:t>
      </w:r>
      <w:proofErr w:type="gramStart"/>
      <w:r w:rsidR="00D62491" w:rsidRPr="00014163">
        <w:rPr>
          <w:rFonts w:asciiTheme="majorHAnsi" w:eastAsia="Times New Roman" w:hAnsiTheme="majorHAnsi" w:cs="Times New Roman"/>
          <w:sz w:val="24"/>
          <w:szCs w:val="24"/>
        </w:rPr>
        <w:t>Решение от 17 октомври 1972 г. по дело Vereeniging van Cementhandelaren/Комисия (8/72, Recueil, стр. 977, точка 29), Решение по дело Manfredi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44, точка 45) и Решение по дело Asnef-Equifax (посочено в бележка под линия 44, точка 37); в аналогичен смисъл вж. </w:t>
      </w:r>
      <w:proofErr w:type="gramStart"/>
      <w:r w:rsidR="00D62491" w:rsidRPr="00014163">
        <w:rPr>
          <w:rFonts w:asciiTheme="majorHAnsi" w:eastAsia="Times New Roman" w:hAnsiTheme="majorHAnsi" w:cs="Times New Roman"/>
          <w:sz w:val="24"/>
          <w:szCs w:val="24"/>
        </w:rPr>
        <w:t>и</w:t>
      </w:r>
      <w:proofErr w:type="gramEnd"/>
      <w:r w:rsidR="00D62491" w:rsidRPr="00014163">
        <w:rPr>
          <w:rFonts w:asciiTheme="majorHAnsi" w:eastAsia="Times New Roman" w:hAnsiTheme="majorHAnsi" w:cs="Times New Roman"/>
          <w:sz w:val="24"/>
          <w:szCs w:val="24"/>
        </w:rPr>
        <w:t xml:space="preserve"> Решение от 5 декември 2006 г. по дело Cipolla (C</w:t>
      </w:r>
      <w:r w:rsidR="00D62491" w:rsidRPr="00014163">
        <w:rPr>
          <w:rFonts w:asciiTheme="majorHAnsi" w:eastAsia="Times New Roman" w:hAnsiTheme="majorHAnsi" w:cs="Times New Roman"/>
          <w:sz w:val="24"/>
          <w:szCs w:val="24"/>
        </w:rPr>
        <w:noBreakHyphen/>
        <w:t>94/04,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11421, точка 45).</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81" style="width:0;height:1.5pt" o:hralign="center" o:hrstd="t" o:hrnoshade="t" o:hr="t" fillcolor="#333" stroked="f"/>
        </w:pict>
      </w:r>
    </w:p>
    <w:bookmarkStart w:id="139" w:name="Footnote56"/>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"Footref56"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56</w:t>
      </w:r>
      <w:r w:rsidRPr="00014163">
        <w:rPr>
          <w:rFonts w:asciiTheme="majorHAnsi" w:eastAsia="Times New Roman" w:hAnsiTheme="majorHAnsi" w:cs="Times New Roman"/>
          <w:sz w:val="24"/>
          <w:szCs w:val="24"/>
        </w:rPr>
        <w:fldChar w:fldCharType="end"/>
      </w:r>
      <w:bookmarkEnd w:id="139"/>
      <w:r w:rsidR="00D62491" w:rsidRPr="00014163">
        <w:rPr>
          <w:rFonts w:asciiTheme="majorHAnsi" w:eastAsia="Times New Roman" w:hAnsiTheme="majorHAnsi" w:cs="Times New Roman"/>
          <w:sz w:val="24"/>
          <w:szCs w:val="24"/>
        </w:rPr>
        <w:t> – Решение от 19 март 1991 г. по дело Франция/Комисия, известно като „крайни далекосъобщителни устройства“ (C</w:t>
      </w:r>
      <w:r w:rsidR="00D62491" w:rsidRPr="00014163">
        <w:rPr>
          <w:rFonts w:asciiTheme="majorHAnsi" w:eastAsia="Times New Roman" w:hAnsiTheme="majorHAnsi" w:cs="Times New Roman"/>
          <w:sz w:val="24"/>
          <w:szCs w:val="24"/>
        </w:rPr>
        <w:noBreakHyphen/>
        <w:t>202/88,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1223, точка 24).</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82" style="width:0;height:1.5pt" o:hralign="center" o:hrstd="t" o:hrnoshade="t" o:hr="t" fillcolor="#333" stroked="f"/>
        </w:pict>
      </w:r>
    </w:p>
    <w:bookmarkStart w:id="140" w:name="Footnote57"/>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"Footref57"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57</w:t>
      </w:r>
      <w:r w:rsidRPr="00014163">
        <w:rPr>
          <w:rFonts w:asciiTheme="majorHAnsi" w:eastAsia="Times New Roman" w:hAnsiTheme="majorHAnsi" w:cs="Times New Roman"/>
          <w:sz w:val="24"/>
          <w:szCs w:val="24"/>
        </w:rPr>
        <w:fldChar w:fldCharType="end"/>
      </w:r>
      <w:bookmarkEnd w:id="140"/>
      <w:r w:rsidR="00D62491" w:rsidRPr="00014163">
        <w:rPr>
          <w:rFonts w:asciiTheme="majorHAnsi" w:eastAsia="Times New Roman" w:hAnsiTheme="majorHAnsi" w:cs="Times New Roman"/>
          <w:sz w:val="24"/>
          <w:szCs w:val="24"/>
        </w:rPr>
        <w:t> – По-нататък за улеснение ще използвам само понятието „</w:t>
      </w:r>
      <w:r w:rsidR="00D62491" w:rsidRPr="00014163">
        <w:rPr>
          <w:rFonts w:asciiTheme="majorHAnsi" w:eastAsia="Times New Roman" w:hAnsiTheme="majorHAnsi" w:cs="Times New Roman"/>
          <w:i/>
          <w:iCs/>
          <w:sz w:val="24"/>
          <w:szCs w:val="24"/>
        </w:rPr>
        <w:t>изключително право</w:t>
      </w:r>
      <w:r w:rsidR="00D62491" w:rsidRPr="00014163">
        <w:rPr>
          <w:rFonts w:asciiTheme="majorHAnsi" w:eastAsia="Times New Roman" w:hAnsiTheme="majorHAnsi" w:cs="Times New Roman"/>
          <w:sz w:val="24"/>
          <w:szCs w:val="24"/>
        </w:rPr>
        <w:t>“.</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83" style="width:0;height:1.5pt" o:hralign="center" o:hrstd="t" o:hrnoshade="t" o:hr="t" fillcolor="#333" stroked="f"/>
        </w:pict>
      </w:r>
    </w:p>
    <w:bookmarkStart w:id="141" w:name="Footnote58"/>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"Footref58"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58</w:t>
      </w:r>
      <w:r w:rsidRPr="00014163">
        <w:rPr>
          <w:rFonts w:asciiTheme="majorHAnsi" w:eastAsia="Times New Roman" w:hAnsiTheme="majorHAnsi" w:cs="Times New Roman"/>
          <w:sz w:val="24"/>
          <w:szCs w:val="24"/>
        </w:rPr>
        <w:fldChar w:fldCharType="end"/>
      </w:r>
      <w:bookmarkEnd w:id="141"/>
      <w:r w:rsidR="00D62491" w:rsidRPr="00014163">
        <w:rPr>
          <w:rFonts w:asciiTheme="majorHAnsi" w:eastAsia="Times New Roman" w:hAnsiTheme="majorHAnsi" w:cs="Times New Roman"/>
          <w:sz w:val="24"/>
          <w:szCs w:val="24"/>
        </w:rPr>
        <w:t xml:space="preserve"> – В този смисъл вж. </w:t>
      </w:r>
      <w:proofErr w:type="gramStart"/>
      <w:r w:rsidR="00D62491" w:rsidRPr="00014163">
        <w:rPr>
          <w:rFonts w:asciiTheme="majorHAnsi" w:eastAsia="Times New Roman" w:hAnsiTheme="majorHAnsi" w:cs="Times New Roman"/>
          <w:sz w:val="24"/>
          <w:szCs w:val="24"/>
        </w:rPr>
        <w:t>например</w:t>
      </w:r>
      <w:proofErr w:type="gramEnd"/>
      <w:r w:rsidR="00D62491" w:rsidRPr="00014163">
        <w:rPr>
          <w:rFonts w:asciiTheme="majorHAnsi" w:eastAsia="Times New Roman" w:hAnsiTheme="majorHAnsi" w:cs="Times New Roman"/>
          <w:sz w:val="24"/>
          <w:szCs w:val="24"/>
        </w:rPr>
        <w:t xml:space="preserve"> Решение по дело Job Centre (посочено в бележка под линия 45, точка 29).</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84" style="width:0;height:1.5pt" o:hralign="center" o:hrstd="t" o:hrnoshade="t" o:hr="t" fillcolor="#333" stroked="f"/>
        </w:pict>
      </w:r>
    </w:p>
    <w:bookmarkStart w:id="142" w:name="Footnote59"/>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"Footref59"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59</w:t>
      </w:r>
      <w:r w:rsidRPr="00014163">
        <w:rPr>
          <w:rFonts w:asciiTheme="majorHAnsi" w:eastAsia="Times New Roman" w:hAnsiTheme="majorHAnsi" w:cs="Times New Roman"/>
          <w:sz w:val="24"/>
          <w:szCs w:val="24"/>
        </w:rPr>
        <w:fldChar w:fldCharType="end"/>
      </w:r>
      <w:bookmarkEnd w:id="142"/>
      <w:r w:rsidR="00D62491" w:rsidRPr="00014163">
        <w:rPr>
          <w:rFonts w:asciiTheme="majorHAnsi" w:eastAsia="Times New Roman" w:hAnsiTheme="majorHAnsi" w:cs="Times New Roman"/>
          <w:sz w:val="24"/>
          <w:szCs w:val="24"/>
        </w:rPr>
        <w:t xml:space="preserve"> – Решение по дело Höfner и Elser (посочено в бележка под линия 21, точка 29), Решение по дело ERT (посочено в бележка под линия 40, точка 37), Решение по дело Merci convenzionali </w:t>
      </w:r>
      <w:proofErr w:type="gramStart"/>
      <w:r w:rsidR="00D62491" w:rsidRPr="00014163">
        <w:rPr>
          <w:rFonts w:asciiTheme="majorHAnsi" w:eastAsia="Times New Roman" w:hAnsiTheme="majorHAnsi" w:cs="Times New Roman"/>
          <w:sz w:val="24"/>
          <w:szCs w:val="24"/>
        </w:rPr>
        <w:t>porto</w:t>
      </w:r>
      <w:proofErr w:type="gramEnd"/>
      <w:r w:rsidR="00D62491" w:rsidRPr="00014163">
        <w:rPr>
          <w:rFonts w:asciiTheme="majorHAnsi" w:eastAsia="Times New Roman" w:hAnsiTheme="majorHAnsi" w:cs="Times New Roman"/>
          <w:sz w:val="24"/>
          <w:szCs w:val="24"/>
        </w:rPr>
        <w:t xml:space="preserve"> di Genova (посочено в бележка под линия 51, точка 17), Решение от 5 октомври 1994 г. по дело Centre d'insémination de la Crespelle (C</w:t>
      </w:r>
      <w:r w:rsidR="00D62491" w:rsidRPr="00014163">
        <w:rPr>
          <w:rFonts w:asciiTheme="majorHAnsi" w:eastAsia="Times New Roman" w:hAnsiTheme="majorHAnsi" w:cs="Times New Roman"/>
          <w:sz w:val="24"/>
          <w:szCs w:val="24"/>
        </w:rPr>
        <w:noBreakHyphen/>
        <w:t>323/93,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5077, точка 18), Решение по дело Raso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51, точки 27 и 28), Решение по дело Albany (посочено в бележка под линия 30, точка 93), Решение по дело Pavlov и др. (посочено в бележка под линия 23, точка 127), Решение по дело Ambulanz Glöckner (посочено в бележка под линия 23, точка 39) и Решение от 31 януари 2008 г. по дело Centro Europa 7 (C-380/05, Сборник,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349, точка 60); в аналогичен смисъл вж.</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и</w:t>
      </w:r>
      <w:proofErr w:type="gramEnd"/>
      <w:r w:rsidR="00D62491" w:rsidRPr="00014163">
        <w:rPr>
          <w:rFonts w:asciiTheme="majorHAnsi" w:eastAsia="Times New Roman" w:hAnsiTheme="majorHAnsi" w:cs="Times New Roman"/>
          <w:sz w:val="24"/>
          <w:szCs w:val="24"/>
        </w:rPr>
        <w:t xml:space="preserve"> Решение по дело Connect Austria (посочено в бележка под линия 40, точка 80).</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85" style="width:0;height:1.5pt" o:hralign="center" o:hrstd="t" o:hrnoshade="t" o:hr="t" fillcolor="#333" stroked="f"/>
        </w:pict>
      </w:r>
    </w:p>
    <w:bookmarkStart w:id="143" w:name="Footnote60"/>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"Footref60"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60</w:t>
      </w:r>
      <w:r w:rsidRPr="00014163">
        <w:rPr>
          <w:rFonts w:asciiTheme="majorHAnsi" w:eastAsia="Times New Roman" w:hAnsiTheme="majorHAnsi" w:cs="Times New Roman"/>
          <w:sz w:val="24"/>
          <w:szCs w:val="24"/>
        </w:rPr>
        <w:fldChar w:fldCharType="end"/>
      </w:r>
      <w:bookmarkEnd w:id="143"/>
      <w:r w:rsidR="00D62491" w:rsidRPr="00014163">
        <w:rPr>
          <w:rFonts w:asciiTheme="majorHAnsi" w:eastAsia="Times New Roman" w:hAnsiTheme="majorHAnsi" w:cs="Times New Roman"/>
          <w:sz w:val="24"/>
          <w:szCs w:val="24"/>
        </w:rPr>
        <w:t> – Решение по дело Job Centre (посочено в бележка под линия 45, точка 36) и Решение по дело Raso и др.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51, точка 31).</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86" style="width:0;height:1.5pt" o:hralign="center" o:hrstd="t" o:hrnoshade="t" o:hr="t" fillcolor="#333" stroked="f"/>
        </w:pict>
      </w:r>
    </w:p>
    <w:bookmarkStart w:id="144" w:name="Footnote61"/>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"Footref61"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61</w:t>
      </w:r>
      <w:r w:rsidRPr="00014163">
        <w:rPr>
          <w:rFonts w:asciiTheme="majorHAnsi" w:eastAsia="Times New Roman" w:hAnsiTheme="majorHAnsi" w:cs="Times New Roman"/>
          <w:sz w:val="24"/>
          <w:szCs w:val="24"/>
        </w:rPr>
        <w:fldChar w:fldCharType="end"/>
      </w:r>
      <w:bookmarkEnd w:id="144"/>
      <w:r w:rsidR="00D62491" w:rsidRPr="00014163">
        <w:rPr>
          <w:rFonts w:asciiTheme="majorHAnsi" w:eastAsia="Times New Roman" w:hAnsiTheme="majorHAnsi" w:cs="Times New Roman"/>
          <w:sz w:val="24"/>
          <w:szCs w:val="24"/>
        </w:rPr>
        <w:t xml:space="preserve"> – В този смисъл вж. </w:t>
      </w:r>
      <w:proofErr w:type="gramStart"/>
      <w:r w:rsidR="00D62491" w:rsidRPr="00014163">
        <w:rPr>
          <w:rFonts w:asciiTheme="majorHAnsi" w:eastAsia="Times New Roman" w:hAnsiTheme="majorHAnsi" w:cs="Times New Roman"/>
          <w:sz w:val="24"/>
          <w:szCs w:val="24"/>
        </w:rPr>
        <w:t>Решение от 15 март 2007 г. по дело British Airways/Комисия (C</w:t>
      </w:r>
      <w:r w:rsidR="00D62491" w:rsidRPr="00014163">
        <w:rPr>
          <w:rFonts w:asciiTheme="majorHAnsi" w:eastAsia="Times New Roman" w:hAnsiTheme="majorHAnsi" w:cs="Times New Roman"/>
          <w:sz w:val="24"/>
          <w:szCs w:val="24"/>
        </w:rPr>
        <w:noBreakHyphen/>
        <w:t>95/04 P, Сборник,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2331, точки 84 и 85); в същия смисъл относно член 81 ЕО вж.</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Решение по дело Wouters и др.</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22, точка 97).</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87" style="width:0;height:1.5pt" o:hralign="center" o:hrstd="t" o:hrnoshade="t" o:hr="t" fillcolor="#333" stroked="f"/>
        </w:pict>
      </w:r>
    </w:p>
    <w:bookmarkStart w:id="145" w:name="Footnote62"/>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"Footref62"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62</w:t>
      </w:r>
      <w:r w:rsidRPr="00014163">
        <w:rPr>
          <w:rFonts w:asciiTheme="majorHAnsi" w:eastAsia="Times New Roman" w:hAnsiTheme="majorHAnsi" w:cs="Times New Roman"/>
          <w:sz w:val="24"/>
          <w:szCs w:val="24"/>
        </w:rPr>
        <w:fldChar w:fldCharType="end"/>
      </w:r>
      <w:bookmarkEnd w:id="145"/>
      <w:r w:rsidR="00D62491" w:rsidRPr="00014163">
        <w:rPr>
          <w:rFonts w:asciiTheme="majorHAnsi" w:eastAsia="Times New Roman" w:hAnsiTheme="majorHAnsi" w:cs="Times New Roman"/>
          <w:sz w:val="24"/>
          <w:szCs w:val="24"/>
        </w:rPr>
        <w:t xml:space="preserve"> – За отчитането на особеностите на спорта при прилагане на общностното право вж. </w:t>
      </w:r>
      <w:proofErr w:type="gramStart"/>
      <w:r w:rsidR="00D62491" w:rsidRPr="00014163">
        <w:rPr>
          <w:rFonts w:asciiTheme="majorHAnsi" w:eastAsia="Times New Roman" w:hAnsiTheme="majorHAnsi" w:cs="Times New Roman"/>
          <w:sz w:val="24"/>
          <w:szCs w:val="24"/>
        </w:rPr>
        <w:t>двете</w:t>
      </w:r>
      <w:proofErr w:type="gramEnd"/>
      <w:r w:rsidR="00D62491" w:rsidRPr="00014163">
        <w:rPr>
          <w:rFonts w:asciiTheme="majorHAnsi" w:eastAsia="Times New Roman" w:hAnsiTheme="majorHAnsi" w:cs="Times New Roman"/>
          <w:sz w:val="24"/>
          <w:szCs w:val="24"/>
        </w:rPr>
        <w:t xml:space="preserve"> декларации във връзка със спорта и Бялата книга за спорта (посочени съответно в бележки под линия 11—13).</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88" style="width:0;height:1.5pt" o:hralign="center" o:hrstd="t" o:hrnoshade="t" o:hr="t" fillcolor="#333" stroked="f"/>
        </w:pict>
      </w:r>
    </w:p>
    <w:bookmarkStart w:id="146" w:name="Footnote63"/>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"Footref63"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63</w:t>
      </w:r>
      <w:r w:rsidRPr="00014163">
        <w:rPr>
          <w:rFonts w:asciiTheme="majorHAnsi" w:eastAsia="Times New Roman" w:hAnsiTheme="majorHAnsi" w:cs="Times New Roman"/>
          <w:sz w:val="24"/>
          <w:szCs w:val="24"/>
        </w:rPr>
        <w:fldChar w:fldCharType="end"/>
      </w:r>
      <w:bookmarkEnd w:id="146"/>
      <w:r w:rsidR="00D62491" w:rsidRPr="00014163">
        <w:rPr>
          <w:rFonts w:asciiTheme="majorHAnsi" w:eastAsia="Times New Roman" w:hAnsiTheme="majorHAnsi" w:cs="Times New Roman"/>
          <w:sz w:val="24"/>
          <w:szCs w:val="24"/>
        </w:rPr>
        <w:t> – Вж. също точки 2—4 от писмото на ELPA и ETHEAM до MOTOE, цитирани в точка 17 от настоящото заключение.</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89" style="width:0;height:1.5pt" o:hralign="center" o:hrstd="t" o:hrnoshade="t" o:hr="t" fillcolor="#333" stroked="f"/>
        </w:pict>
      </w:r>
    </w:p>
    <w:bookmarkStart w:id="147" w:name="Footnote64"/>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"Footref64"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64</w:t>
      </w:r>
      <w:r w:rsidRPr="00014163">
        <w:rPr>
          <w:rFonts w:asciiTheme="majorHAnsi" w:eastAsia="Times New Roman" w:hAnsiTheme="majorHAnsi" w:cs="Times New Roman"/>
          <w:sz w:val="24"/>
          <w:szCs w:val="24"/>
        </w:rPr>
        <w:fldChar w:fldCharType="end"/>
      </w:r>
      <w:bookmarkEnd w:id="147"/>
      <w:r w:rsidR="00D62491" w:rsidRPr="00014163">
        <w:rPr>
          <w:rFonts w:asciiTheme="majorHAnsi" w:eastAsia="Times New Roman" w:hAnsiTheme="majorHAnsi" w:cs="Times New Roman"/>
          <w:sz w:val="24"/>
          <w:szCs w:val="24"/>
        </w:rPr>
        <w:t> – Решение по дело Meca-Medina и Majcen (посочено в бележка под линия 16, точки 28 и 31, както и 42—55).</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90" style="width:0;height:1.5pt" o:hralign="center" o:hrstd="t" o:hrnoshade="t" o:hr="t" fillcolor="#333" stroked="f"/>
        </w:pict>
      </w:r>
    </w:p>
    <w:bookmarkStart w:id="148" w:name="Footnote65"/>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"Footref65"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65</w:t>
      </w:r>
      <w:r w:rsidRPr="00014163">
        <w:rPr>
          <w:rFonts w:asciiTheme="majorHAnsi" w:eastAsia="Times New Roman" w:hAnsiTheme="majorHAnsi" w:cs="Times New Roman"/>
          <w:sz w:val="24"/>
          <w:szCs w:val="24"/>
        </w:rPr>
        <w:fldChar w:fldCharType="end"/>
      </w:r>
      <w:bookmarkEnd w:id="148"/>
      <w:r w:rsidR="00D62491" w:rsidRPr="00014163">
        <w:rPr>
          <w:rFonts w:asciiTheme="majorHAnsi" w:eastAsia="Times New Roman" w:hAnsiTheme="majorHAnsi" w:cs="Times New Roman"/>
          <w:sz w:val="24"/>
          <w:szCs w:val="24"/>
        </w:rPr>
        <w:t> – Вж. също точка 4 от писмото на ELPA и ETHEAM до MOTOE, цитирано в точка 17 от настоящото заключение.</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91" style="width:0;height:1.5pt" o:hralign="center" o:hrstd="t" o:hrnoshade="t" o:hr="t" fillcolor="#333" stroked="f"/>
        </w:pict>
      </w:r>
    </w:p>
    <w:bookmarkStart w:id="149" w:name="Footnote66"/>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"Footref66"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66</w:t>
      </w:r>
      <w:r w:rsidRPr="00014163">
        <w:rPr>
          <w:rFonts w:asciiTheme="majorHAnsi" w:eastAsia="Times New Roman" w:hAnsiTheme="majorHAnsi" w:cs="Times New Roman"/>
          <w:sz w:val="24"/>
          <w:szCs w:val="24"/>
        </w:rPr>
        <w:fldChar w:fldCharType="end"/>
      </w:r>
      <w:bookmarkEnd w:id="149"/>
      <w:r w:rsidR="00D62491" w:rsidRPr="00014163">
        <w:rPr>
          <w:rFonts w:asciiTheme="majorHAnsi" w:eastAsia="Times New Roman" w:hAnsiTheme="majorHAnsi" w:cs="Times New Roman"/>
          <w:sz w:val="24"/>
          <w:szCs w:val="24"/>
        </w:rPr>
        <w:t> – Вж. Бялата книга за спорта (посочена в бележка под линия 13, точка 4.1.).</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92" style="width:0;height:1.5pt" o:hralign="center" o:hrstd="t" o:hrnoshade="t" o:hr="t" fillcolor="#333" stroked="f"/>
        </w:pict>
      </w:r>
    </w:p>
    <w:bookmarkStart w:id="150" w:name="Footnote67"/>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"Footref67"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67</w:t>
      </w:r>
      <w:r w:rsidRPr="00014163">
        <w:rPr>
          <w:rFonts w:asciiTheme="majorHAnsi" w:eastAsia="Times New Roman" w:hAnsiTheme="majorHAnsi" w:cs="Times New Roman"/>
          <w:sz w:val="24"/>
          <w:szCs w:val="24"/>
        </w:rPr>
        <w:fldChar w:fldCharType="end"/>
      </w:r>
      <w:bookmarkEnd w:id="150"/>
      <w:r w:rsidR="00D62491" w:rsidRPr="00014163">
        <w:rPr>
          <w:rFonts w:asciiTheme="majorHAnsi" w:eastAsia="Times New Roman" w:hAnsiTheme="majorHAnsi" w:cs="Times New Roman"/>
          <w:sz w:val="24"/>
          <w:szCs w:val="24"/>
        </w:rPr>
        <w:t> – Пирамидалната структура не означава задължително структура с една-единствена федерация: в бокса например независимо една от друга съществуват множество международни федерации.</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93" style="width:0;height:1.5pt" o:hralign="center" o:hrstd="t" o:hrnoshade="t" o:hr="t" fillcolor="#333" stroked="f"/>
        </w:pict>
      </w:r>
    </w:p>
    <w:bookmarkStart w:id="151" w:name="Footnote68"/>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"Footref68"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68</w:t>
      </w:r>
      <w:r w:rsidRPr="00014163">
        <w:rPr>
          <w:rFonts w:asciiTheme="majorHAnsi" w:eastAsia="Times New Roman" w:hAnsiTheme="majorHAnsi" w:cs="Times New Roman"/>
          <w:sz w:val="24"/>
          <w:szCs w:val="24"/>
        </w:rPr>
        <w:fldChar w:fldCharType="end"/>
      </w:r>
      <w:bookmarkEnd w:id="151"/>
      <w:r w:rsidR="00D62491" w:rsidRPr="00014163">
        <w:rPr>
          <w:rFonts w:asciiTheme="majorHAnsi" w:eastAsia="Times New Roman" w:hAnsiTheme="majorHAnsi" w:cs="Times New Roman"/>
          <w:sz w:val="24"/>
          <w:szCs w:val="24"/>
        </w:rPr>
        <w:t> – Вж. точка 87 от настоящото заключение и цитираната в бележка под линия 59 съдебна практика.</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94" style="width:0;height:1.5pt" o:hralign="center" o:hrstd="t" o:hrnoshade="t" o:hr="t" fillcolor="#333" stroked="f"/>
        </w:pict>
      </w:r>
    </w:p>
    <w:bookmarkStart w:id="152" w:name="Footnote69"/>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"Footref69"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69</w:t>
      </w:r>
      <w:r w:rsidRPr="00014163">
        <w:rPr>
          <w:rFonts w:asciiTheme="majorHAnsi" w:eastAsia="Times New Roman" w:hAnsiTheme="majorHAnsi" w:cs="Times New Roman"/>
          <w:sz w:val="24"/>
          <w:szCs w:val="24"/>
        </w:rPr>
        <w:fldChar w:fldCharType="end"/>
      </w:r>
      <w:bookmarkEnd w:id="152"/>
      <w:r w:rsidR="00D62491" w:rsidRPr="00014163">
        <w:rPr>
          <w:rFonts w:asciiTheme="majorHAnsi" w:eastAsia="Times New Roman" w:hAnsiTheme="majorHAnsi" w:cs="Times New Roman"/>
          <w:sz w:val="24"/>
          <w:szCs w:val="24"/>
        </w:rPr>
        <w:t xml:space="preserve"> – Относно господстващото положение на ELPA вж. </w:t>
      </w:r>
      <w:proofErr w:type="gramStart"/>
      <w:r w:rsidR="00D62491" w:rsidRPr="00014163">
        <w:rPr>
          <w:rFonts w:asciiTheme="majorHAnsi" w:eastAsia="Times New Roman" w:hAnsiTheme="majorHAnsi" w:cs="Times New Roman"/>
          <w:sz w:val="24"/>
          <w:szCs w:val="24"/>
        </w:rPr>
        <w:t>точки</w:t>
      </w:r>
      <w:proofErr w:type="gramEnd"/>
      <w:r w:rsidR="00D62491" w:rsidRPr="00014163">
        <w:rPr>
          <w:rFonts w:asciiTheme="majorHAnsi" w:eastAsia="Times New Roman" w:hAnsiTheme="majorHAnsi" w:cs="Times New Roman"/>
          <w:sz w:val="24"/>
          <w:szCs w:val="24"/>
        </w:rPr>
        <w:t xml:space="preserve"> 59 и 61 от настоящото заключение.</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95" style="width:0;height:1.5pt" o:hralign="center" o:hrstd="t" o:hrnoshade="t" o:hr="t" fillcolor="#333" stroked="f"/>
        </w:pict>
      </w:r>
    </w:p>
    <w:bookmarkStart w:id="153" w:name="Footnote70"/>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"Footref70"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70</w:t>
      </w:r>
      <w:r w:rsidRPr="00014163">
        <w:rPr>
          <w:rFonts w:asciiTheme="majorHAnsi" w:eastAsia="Times New Roman" w:hAnsiTheme="majorHAnsi" w:cs="Times New Roman"/>
          <w:sz w:val="24"/>
          <w:szCs w:val="24"/>
        </w:rPr>
        <w:fldChar w:fldCharType="end"/>
      </w:r>
      <w:bookmarkEnd w:id="153"/>
      <w:r w:rsidR="00D62491" w:rsidRPr="00014163">
        <w:rPr>
          <w:rFonts w:asciiTheme="majorHAnsi" w:eastAsia="Times New Roman" w:hAnsiTheme="majorHAnsi" w:cs="Times New Roman"/>
          <w:sz w:val="24"/>
          <w:szCs w:val="24"/>
        </w:rPr>
        <w:t> – Вж. Решение по дело Raso и др.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51, точка 28).</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96" style="width:0;height:1.5pt" o:hralign="center" o:hrstd="t" o:hrnoshade="t" o:hr="t" fillcolor="#333" stroked="f"/>
        </w:pict>
      </w:r>
    </w:p>
    <w:bookmarkStart w:id="154" w:name="Footnote71"/>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"Footref71" </w:instrText>
      </w:r>
      <w:r w:rsidRPr="00014163">
        <w:rPr>
          <w:rFonts w:asciiTheme="majorHAnsi" w:eastAsia="Times New Roman" w:hAnsiTheme="majorHAnsi" w:cs="Times New Roman"/>
          <w:sz w:val="24"/>
          <w:szCs w:val="24"/>
        </w:rPr>
        <w:fldChar w:fldCharType="separate"/>
      </w:r>
      <w:proofErr w:type="gramStart"/>
      <w:r w:rsidR="00D62491" w:rsidRPr="00014163">
        <w:rPr>
          <w:rFonts w:asciiTheme="majorHAnsi" w:eastAsia="Times New Roman" w:hAnsiTheme="majorHAnsi" w:cs="Times New Roman"/>
          <w:sz w:val="24"/>
          <w:szCs w:val="24"/>
        </w:rPr>
        <w:t>71</w:t>
      </w:r>
      <w:r w:rsidRPr="00014163">
        <w:rPr>
          <w:rFonts w:asciiTheme="majorHAnsi" w:eastAsia="Times New Roman" w:hAnsiTheme="majorHAnsi" w:cs="Times New Roman"/>
          <w:sz w:val="24"/>
          <w:szCs w:val="24"/>
        </w:rPr>
        <w:fldChar w:fldCharType="end"/>
      </w:r>
      <w:bookmarkEnd w:id="154"/>
      <w:r w:rsidR="00D62491" w:rsidRPr="00014163">
        <w:rPr>
          <w:rFonts w:asciiTheme="majorHAnsi" w:eastAsia="Times New Roman" w:hAnsiTheme="majorHAnsi" w:cs="Times New Roman"/>
          <w:sz w:val="24"/>
          <w:szCs w:val="24"/>
        </w:rPr>
        <w:t> – Идеята за ненарушена конкуренция е изрично спомената в член 3, параграф 1, буква ж) от Договора за ЕО, тя обаче е и в основата на разпоредбите в областта на конкуренцията на членове 81—89 от Договора за ЕО.</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pict>
          <v:rect id="_x0000_i1097" style="width:0;height:1.5pt" o:hralign="center" o:hrstd="t" o:hrnoshade="t" o:hr="t" fillcolor="#333" stroked="f"/>
        </w:pict>
      </w:r>
    </w:p>
    <w:bookmarkStart w:id="155" w:name="Footnote72"/>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"Footref72"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72</w:t>
      </w:r>
      <w:r w:rsidRPr="00014163">
        <w:rPr>
          <w:rFonts w:asciiTheme="majorHAnsi" w:eastAsia="Times New Roman" w:hAnsiTheme="majorHAnsi" w:cs="Times New Roman"/>
          <w:sz w:val="24"/>
          <w:szCs w:val="24"/>
        </w:rPr>
        <w:fldChar w:fldCharType="end"/>
      </w:r>
      <w:bookmarkEnd w:id="155"/>
      <w:r w:rsidR="00D62491" w:rsidRPr="00014163">
        <w:rPr>
          <w:rFonts w:asciiTheme="majorHAnsi" w:eastAsia="Times New Roman" w:hAnsiTheme="majorHAnsi" w:cs="Times New Roman"/>
          <w:sz w:val="24"/>
          <w:szCs w:val="24"/>
        </w:rPr>
        <w:t> – Решение по дело Франция/Комисия („крайни далекосъобщителни устройства“, посочено в бележка под линия 56, точка 51) и Решение от 13 декември 1991 г. по дело GB-Inno-BM (C</w:t>
      </w:r>
      <w:r w:rsidR="00D62491" w:rsidRPr="00014163">
        <w:rPr>
          <w:rFonts w:asciiTheme="majorHAnsi" w:eastAsia="Times New Roman" w:hAnsiTheme="majorHAnsi" w:cs="Times New Roman"/>
          <w:sz w:val="24"/>
          <w:szCs w:val="24"/>
        </w:rPr>
        <w:noBreakHyphen/>
        <w:t>18/88,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5941, точка 25); в същия смисъл вж.</w:t>
      </w:r>
      <w:proofErr w:type="gramEnd"/>
      <w:r w:rsidR="00D62491" w:rsidRPr="00014163">
        <w:rPr>
          <w:rFonts w:asciiTheme="majorHAnsi" w:eastAsia="Times New Roman" w:hAnsiTheme="majorHAnsi" w:cs="Times New Roman"/>
          <w:sz w:val="24"/>
          <w:szCs w:val="24"/>
        </w:rPr>
        <w:t xml:space="preserve"> </w:t>
      </w:r>
      <w:proofErr w:type="gramStart"/>
      <w:r w:rsidR="00D62491" w:rsidRPr="00014163">
        <w:rPr>
          <w:rFonts w:asciiTheme="majorHAnsi" w:eastAsia="Times New Roman" w:hAnsiTheme="majorHAnsi" w:cs="Times New Roman"/>
          <w:sz w:val="24"/>
          <w:szCs w:val="24"/>
        </w:rPr>
        <w:t>и</w:t>
      </w:r>
      <w:proofErr w:type="gramEnd"/>
      <w:r w:rsidR="00D62491" w:rsidRPr="00014163">
        <w:rPr>
          <w:rFonts w:asciiTheme="majorHAnsi" w:eastAsia="Times New Roman" w:hAnsiTheme="majorHAnsi" w:cs="Times New Roman"/>
          <w:sz w:val="24"/>
          <w:szCs w:val="24"/>
        </w:rPr>
        <w:t xml:space="preserve"> Решение по дело ERT (посочено в бележка под линия 40, точка 37) и Решение по дело Raso и др. (</w:t>
      </w:r>
      <w:proofErr w:type="gramStart"/>
      <w:r w:rsidR="00D62491" w:rsidRPr="00014163">
        <w:rPr>
          <w:rFonts w:asciiTheme="majorHAnsi" w:eastAsia="Times New Roman" w:hAnsiTheme="majorHAnsi" w:cs="Times New Roman"/>
          <w:sz w:val="24"/>
          <w:szCs w:val="24"/>
        </w:rPr>
        <w:t>посочено</w:t>
      </w:r>
      <w:proofErr w:type="gramEnd"/>
      <w:r w:rsidR="00D62491" w:rsidRPr="00014163">
        <w:rPr>
          <w:rFonts w:asciiTheme="majorHAnsi" w:eastAsia="Times New Roman" w:hAnsiTheme="majorHAnsi" w:cs="Times New Roman"/>
          <w:sz w:val="24"/>
          <w:szCs w:val="24"/>
        </w:rPr>
        <w:t xml:space="preserve"> в бележка под линия 51, точки 29—31).</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98" style="width:0;height:1.5pt" o:hralign="center" o:hrstd="t" o:hrnoshade="t" o:hr="t" fillcolor="#333" stroked="f"/>
        </w:pict>
      </w:r>
    </w:p>
    <w:bookmarkStart w:id="156" w:name="Footnote73"/>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"Footref73"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73</w:t>
      </w:r>
      <w:r w:rsidRPr="00014163">
        <w:rPr>
          <w:rFonts w:asciiTheme="majorHAnsi" w:eastAsia="Times New Roman" w:hAnsiTheme="majorHAnsi" w:cs="Times New Roman"/>
          <w:sz w:val="24"/>
          <w:szCs w:val="24"/>
        </w:rPr>
        <w:fldChar w:fldCharType="end"/>
      </w:r>
      <w:bookmarkEnd w:id="156"/>
      <w:r w:rsidR="00D62491" w:rsidRPr="00014163">
        <w:rPr>
          <w:rFonts w:asciiTheme="majorHAnsi" w:eastAsia="Times New Roman" w:hAnsiTheme="majorHAnsi" w:cs="Times New Roman"/>
          <w:sz w:val="24"/>
          <w:szCs w:val="24"/>
        </w:rPr>
        <w:t xml:space="preserve"> – В същия смисъл вж. </w:t>
      </w:r>
      <w:proofErr w:type="gramStart"/>
      <w:r w:rsidR="00D62491" w:rsidRPr="00014163">
        <w:rPr>
          <w:rFonts w:asciiTheme="majorHAnsi" w:eastAsia="Times New Roman" w:hAnsiTheme="majorHAnsi" w:cs="Times New Roman"/>
          <w:sz w:val="24"/>
          <w:szCs w:val="24"/>
        </w:rPr>
        <w:t>Решение по дело Франция/Комисия („крайни далекосъобщителни устройства“, посочено в бележка под линия 56, точка 51) и Решение по дело GB-Inno-BM (посочено в бележка под линия 72, точка 25).</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099" style="width:0;height:1.5pt" o:hralign="center" o:hrstd="t" o:hrnoshade="t" o:hr="t" fillcolor="#333" stroked="f"/>
        </w:pict>
      </w:r>
    </w:p>
    <w:bookmarkStart w:id="157" w:name="Footnote74"/>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"Footref74"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74</w:t>
      </w:r>
      <w:r w:rsidRPr="00014163">
        <w:rPr>
          <w:rFonts w:asciiTheme="majorHAnsi" w:eastAsia="Times New Roman" w:hAnsiTheme="majorHAnsi" w:cs="Times New Roman"/>
          <w:sz w:val="24"/>
          <w:szCs w:val="24"/>
        </w:rPr>
        <w:fldChar w:fldCharType="end"/>
      </w:r>
      <w:bookmarkEnd w:id="157"/>
      <w:r w:rsidR="00D62491" w:rsidRPr="00014163">
        <w:rPr>
          <w:rFonts w:asciiTheme="majorHAnsi" w:eastAsia="Times New Roman" w:hAnsiTheme="majorHAnsi" w:cs="Times New Roman"/>
          <w:sz w:val="24"/>
          <w:szCs w:val="24"/>
        </w:rPr>
        <w:t> – Вж. точки 90—95 от настоящото заключение.</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100" style="width:0;height:1.5pt" o:hralign="center" o:hrstd="t" o:hrnoshade="t" o:hr="t" fillcolor="#333" stroked="f"/>
        </w:pict>
      </w:r>
    </w:p>
    <w:bookmarkStart w:id="158" w:name="Footnote75"/>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"Footref75"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75</w:t>
      </w:r>
      <w:r w:rsidRPr="00014163">
        <w:rPr>
          <w:rFonts w:asciiTheme="majorHAnsi" w:eastAsia="Times New Roman" w:hAnsiTheme="majorHAnsi" w:cs="Times New Roman"/>
          <w:sz w:val="24"/>
          <w:szCs w:val="24"/>
        </w:rPr>
        <w:fldChar w:fldCharType="end"/>
      </w:r>
      <w:bookmarkEnd w:id="158"/>
      <w:r w:rsidR="00D62491" w:rsidRPr="00014163">
        <w:rPr>
          <w:rFonts w:asciiTheme="majorHAnsi" w:eastAsia="Times New Roman" w:hAnsiTheme="majorHAnsi" w:cs="Times New Roman"/>
          <w:sz w:val="24"/>
          <w:szCs w:val="24"/>
        </w:rPr>
        <w:t xml:space="preserve"> – В този смисъл вж. </w:t>
      </w:r>
      <w:proofErr w:type="gramStart"/>
      <w:r w:rsidR="00D62491" w:rsidRPr="00014163">
        <w:rPr>
          <w:rFonts w:asciiTheme="majorHAnsi" w:eastAsia="Times New Roman" w:hAnsiTheme="majorHAnsi" w:cs="Times New Roman"/>
          <w:sz w:val="24"/>
          <w:szCs w:val="24"/>
        </w:rPr>
        <w:t>Решение по дело Франция/Комисия („крайни далекосъобщителни устройства“, посочено в бележка под линия 56, точка 52) и Решение по дело GB-Inno-BM (посочено в бележка под линия 72, точка 26).</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101" style="width:0;height:1.5pt" o:hralign="center" o:hrstd="t" o:hrnoshade="t" o:hr="t" fillcolor="#333" stroked="f"/>
        </w:pict>
      </w:r>
    </w:p>
    <w:bookmarkStart w:id="159" w:name="Footnote76"/>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"Footref76"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76</w:t>
      </w:r>
      <w:r w:rsidRPr="00014163">
        <w:rPr>
          <w:rFonts w:asciiTheme="majorHAnsi" w:eastAsia="Times New Roman" w:hAnsiTheme="majorHAnsi" w:cs="Times New Roman"/>
          <w:sz w:val="24"/>
          <w:szCs w:val="24"/>
        </w:rPr>
        <w:fldChar w:fldCharType="end"/>
      </w:r>
      <w:bookmarkEnd w:id="159"/>
      <w:r w:rsidR="00D62491" w:rsidRPr="00014163">
        <w:rPr>
          <w:rFonts w:asciiTheme="majorHAnsi" w:eastAsia="Times New Roman" w:hAnsiTheme="majorHAnsi" w:cs="Times New Roman"/>
          <w:sz w:val="24"/>
          <w:szCs w:val="24"/>
        </w:rPr>
        <w:t xml:space="preserve"> – Вж. в този смисъл Решение по дело Albany (посочено в бележка под линия 30, точки 117 и 121); относно ефективната правна защита вж. </w:t>
      </w:r>
      <w:proofErr w:type="gramStart"/>
      <w:r w:rsidR="00D62491" w:rsidRPr="00014163">
        <w:rPr>
          <w:rFonts w:asciiTheme="majorHAnsi" w:eastAsia="Times New Roman" w:hAnsiTheme="majorHAnsi" w:cs="Times New Roman"/>
          <w:sz w:val="24"/>
          <w:szCs w:val="24"/>
        </w:rPr>
        <w:t>също</w:t>
      </w:r>
      <w:proofErr w:type="gramEnd"/>
      <w:r w:rsidR="00D62491" w:rsidRPr="00014163">
        <w:rPr>
          <w:rFonts w:asciiTheme="majorHAnsi" w:eastAsia="Times New Roman" w:hAnsiTheme="majorHAnsi" w:cs="Times New Roman"/>
          <w:sz w:val="24"/>
          <w:szCs w:val="24"/>
        </w:rPr>
        <w:t xml:space="preserve"> Решение от 15 октомври 1987 г. по дело Heylens и др. </w:t>
      </w:r>
      <w:proofErr w:type="gramStart"/>
      <w:r w:rsidR="00D62491" w:rsidRPr="00014163">
        <w:rPr>
          <w:rFonts w:asciiTheme="majorHAnsi" w:eastAsia="Times New Roman" w:hAnsiTheme="majorHAnsi" w:cs="Times New Roman"/>
          <w:sz w:val="24"/>
          <w:szCs w:val="24"/>
        </w:rPr>
        <w:t>(222/86, Recueil, стр. 4097, точки 14 и 15) и Решение от 13 март 2007 г. по дело Unibet (C</w:t>
      </w:r>
      <w:r w:rsidR="00D62491" w:rsidRPr="00014163">
        <w:rPr>
          <w:rFonts w:asciiTheme="majorHAnsi" w:eastAsia="Times New Roman" w:hAnsiTheme="majorHAnsi" w:cs="Times New Roman"/>
          <w:sz w:val="24"/>
          <w:szCs w:val="24"/>
        </w:rPr>
        <w:noBreakHyphen/>
        <w:t>432/05, Сборник,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2271, точки 37 и 38).</w:t>
      </w:r>
      <w:proofErr w:type="gramEnd"/>
      <w:r w:rsidR="00D62491" w:rsidRPr="00014163">
        <w:rPr>
          <w:rFonts w:asciiTheme="majorHAnsi" w:eastAsia="Times New Roman" w:hAnsiTheme="majorHAnsi" w:cs="Times New Roman"/>
          <w:sz w:val="24"/>
          <w:szCs w:val="24"/>
        </w:rPr>
        <w:t xml:space="preserve"> Общностното право не изисква обаче индивидуална правна защита срещу чисто </w:t>
      </w:r>
      <w:r w:rsidR="00D62491" w:rsidRPr="00014163">
        <w:rPr>
          <w:rFonts w:asciiTheme="majorHAnsi" w:eastAsia="Times New Roman" w:hAnsiTheme="majorHAnsi" w:cs="Times New Roman"/>
          <w:i/>
          <w:iCs/>
          <w:sz w:val="24"/>
          <w:szCs w:val="24"/>
        </w:rPr>
        <w:t>подготвителни действия</w:t>
      </w:r>
      <w:r w:rsidR="00D62491" w:rsidRPr="00014163">
        <w:rPr>
          <w:rFonts w:asciiTheme="majorHAnsi" w:eastAsia="Times New Roman" w:hAnsiTheme="majorHAnsi" w:cs="Times New Roman"/>
          <w:sz w:val="24"/>
          <w:szCs w:val="24"/>
        </w:rPr>
        <w:t xml:space="preserve"> във връзка с издаването на административно разрешение, например срещу даването или отказа да се даде положително становище от страна на сдружение като ELPA (вж. в този смисъл Решение по дело Heylens и </w:t>
      </w:r>
      <w:proofErr w:type="gramStart"/>
      <w:r w:rsidR="00D62491" w:rsidRPr="00014163">
        <w:rPr>
          <w:rFonts w:asciiTheme="majorHAnsi" w:eastAsia="Times New Roman" w:hAnsiTheme="majorHAnsi" w:cs="Times New Roman"/>
          <w:sz w:val="24"/>
          <w:szCs w:val="24"/>
        </w:rPr>
        <w:t>др.,</w:t>
      </w:r>
      <w:proofErr w:type="gramEnd"/>
      <w:r w:rsidR="00D62491" w:rsidRPr="00014163">
        <w:rPr>
          <w:rFonts w:asciiTheme="majorHAnsi" w:eastAsia="Times New Roman" w:hAnsiTheme="majorHAnsi" w:cs="Times New Roman"/>
          <w:sz w:val="24"/>
          <w:szCs w:val="24"/>
        </w:rPr>
        <w:t xml:space="preserve"> точка 16).</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102" style="width:0;height:1.5pt" o:hralign="center" o:hrstd="t" o:hrnoshade="t" o:hr="t" fillcolor="#333" stroked="f"/>
        </w:pict>
      </w:r>
    </w:p>
    <w:bookmarkStart w:id="160" w:name="Footnote77"/>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"Footref77"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77</w:t>
      </w:r>
      <w:r w:rsidRPr="00014163">
        <w:rPr>
          <w:rFonts w:asciiTheme="majorHAnsi" w:eastAsia="Times New Roman" w:hAnsiTheme="majorHAnsi" w:cs="Times New Roman"/>
          <w:sz w:val="24"/>
          <w:szCs w:val="24"/>
        </w:rPr>
        <w:fldChar w:fldCharType="end"/>
      </w:r>
      <w:bookmarkEnd w:id="160"/>
      <w:r w:rsidR="00D62491" w:rsidRPr="00014163">
        <w:rPr>
          <w:rFonts w:asciiTheme="majorHAnsi" w:eastAsia="Times New Roman" w:hAnsiTheme="majorHAnsi" w:cs="Times New Roman"/>
          <w:sz w:val="24"/>
          <w:szCs w:val="24"/>
        </w:rPr>
        <w:t xml:space="preserve"> – Решение от 19 юни 1990 г. по дело Factortame и др. </w:t>
      </w:r>
      <w:proofErr w:type="gramStart"/>
      <w:r w:rsidR="00D62491" w:rsidRPr="00014163">
        <w:rPr>
          <w:rFonts w:asciiTheme="majorHAnsi" w:eastAsia="Times New Roman" w:hAnsiTheme="majorHAnsi" w:cs="Times New Roman"/>
          <w:sz w:val="24"/>
          <w:szCs w:val="24"/>
        </w:rPr>
        <w:t>(C-213/89,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I-2433, точка 21), Решение от 11 януари 2001 г. по дело Siples (C-226/99,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I-277, точка 19) и Решение по дело Unibet (посочено в бележка под линия 76, точка 67).</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103" style="width:0;height:1.5pt" o:hralign="center" o:hrstd="t" o:hrnoshade="t" o:hr="t" fillcolor="#333" stroked="f"/>
        </w:pict>
      </w:r>
    </w:p>
    <w:bookmarkStart w:id="161" w:name="Footnote78"/>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"Footref78"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78</w:t>
      </w:r>
      <w:r w:rsidRPr="00014163">
        <w:rPr>
          <w:rFonts w:asciiTheme="majorHAnsi" w:eastAsia="Times New Roman" w:hAnsiTheme="majorHAnsi" w:cs="Times New Roman"/>
          <w:sz w:val="24"/>
          <w:szCs w:val="24"/>
        </w:rPr>
        <w:fldChar w:fldCharType="end"/>
      </w:r>
      <w:bookmarkEnd w:id="161"/>
      <w:r w:rsidR="00D62491" w:rsidRPr="00014163">
        <w:rPr>
          <w:rFonts w:asciiTheme="majorHAnsi" w:eastAsia="Times New Roman" w:hAnsiTheme="majorHAnsi" w:cs="Times New Roman"/>
          <w:sz w:val="24"/>
          <w:szCs w:val="24"/>
        </w:rPr>
        <w:t> – Гръцкия Държавен съвет.</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104" style="width:0;height:1.5pt" o:hralign="center" o:hrstd="t" o:hrnoshade="t" o:hr="t" fillcolor="#333" stroked="f"/>
        </w:pict>
      </w:r>
    </w:p>
    <w:bookmarkStart w:id="162" w:name="Footnote79"/>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lastRenderedPageBreak/>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"Footref79"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79</w:t>
      </w:r>
      <w:r w:rsidRPr="00014163">
        <w:rPr>
          <w:rFonts w:asciiTheme="majorHAnsi" w:eastAsia="Times New Roman" w:hAnsiTheme="majorHAnsi" w:cs="Times New Roman"/>
          <w:sz w:val="24"/>
          <w:szCs w:val="24"/>
        </w:rPr>
        <w:fldChar w:fldCharType="end"/>
      </w:r>
      <w:bookmarkEnd w:id="162"/>
      <w:r w:rsidR="00D62491" w:rsidRPr="00014163">
        <w:rPr>
          <w:rFonts w:asciiTheme="majorHAnsi" w:eastAsia="Times New Roman" w:hAnsiTheme="majorHAnsi" w:cs="Times New Roman"/>
          <w:sz w:val="24"/>
          <w:szCs w:val="24"/>
        </w:rPr>
        <w:t> – Вж. цитираната в бележка под линия 26 съдебна практика.</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105" style="width:0;height:1.5pt" o:hralign="center" o:hrstd="t" o:hrnoshade="t" o:hr="t" fillcolor="#333" stroked="f"/>
        </w:pict>
      </w:r>
    </w:p>
    <w:bookmarkStart w:id="163" w:name="Footnote80"/>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"Footref80"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80</w:t>
      </w:r>
      <w:r w:rsidRPr="00014163">
        <w:rPr>
          <w:rFonts w:asciiTheme="majorHAnsi" w:eastAsia="Times New Roman" w:hAnsiTheme="majorHAnsi" w:cs="Times New Roman"/>
          <w:sz w:val="24"/>
          <w:szCs w:val="24"/>
        </w:rPr>
        <w:fldChar w:fldCharType="end"/>
      </w:r>
      <w:bookmarkEnd w:id="163"/>
      <w:r w:rsidR="00D62491" w:rsidRPr="00014163">
        <w:rPr>
          <w:rFonts w:asciiTheme="majorHAnsi" w:eastAsia="Times New Roman" w:hAnsiTheme="majorHAnsi" w:cs="Times New Roman"/>
          <w:sz w:val="24"/>
          <w:szCs w:val="24"/>
        </w:rPr>
        <w:t> – Посочените също в член 86, параграф 2 ЕО фискални монополи нямат отношение към случаи като настоящия.</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106" style="width:0;height:1.5pt" o:hralign="center" o:hrstd="t" o:hrnoshade="t" o:hr="t" fillcolor="#333" stroked="f"/>
        </w:pict>
      </w:r>
    </w:p>
    <w:bookmarkStart w:id="164" w:name="Footnote81"/>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"Footref81"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81</w:t>
      </w:r>
      <w:r w:rsidRPr="00014163">
        <w:rPr>
          <w:rFonts w:asciiTheme="majorHAnsi" w:eastAsia="Times New Roman" w:hAnsiTheme="majorHAnsi" w:cs="Times New Roman"/>
          <w:sz w:val="24"/>
          <w:szCs w:val="24"/>
        </w:rPr>
        <w:fldChar w:fldCharType="end"/>
      </w:r>
      <w:bookmarkEnd w:id="164"/>
      <w:r w:rsidR="00D62491" w:rsidRPr="00014163">
        <w:rPr>
          <w:rFonts w:asciiTheme="majorHAnsi" w:eastAsia="Times New Roman" w:hAnsiTheme="majorHAnsi" w:cs="Times New Roman"/>
          <w:sz w:val="24"/>
          <w:szCs w:val="24"/>
        </w:rPr>
        <w:t> – Вж. Решение от 27 март 1974 г. по дело BRT и Société belge des auteurs, compositeurs et éditeurs, известно като „BRT II</w:t>
      </w:r>
      <w:proofErr w:type="gramStart"/>
      <w:r w:rsidR="00D62491" w:rsidRPr="00014163">
        <w:rPr>
          <w:rFonts w:asciiTheme="majorHAnsi" w:eastAsia="Times New Roman" w:hAnsiTheme="majorHAnsi" w:cs="Times New Roman"/>
          <w:sz w:val="24"/>
          <w:szCs w:val="24"/>
        </w:rPr>
        <w:t>“ (</w:t>
      </w:r>
      <w:proofErr w:type="gramEnd"/>
      <w:r w:rsidR="00D62491" w:rsidRPr="00014163">
        <w:rPr>
          <w:rFonts w:asciiTheme="majorHAnsi" w:eastAsia="Times New Roman" w:hAnsiTheme="majorHAnsi" w:cs="Times New Roman"/>
          <w:sz w:val="24"/>
          <w:szCs w:val="24"/>
        </w:rPr>
        <w:t>127/73, Recueil, стр. 313, точка 20), Решение от 11 април 1989 г. по дело Ahmed Saeed Flugreisen и Silver Line Reisebüro (66/86, Recueil, стр. 803, точка 55) и Решение от 23 октомври 1997 г. по дело Комисия/Франция (C</w:t>
      </w:r>
      <w:r w:rsidR="00D62491" w:rsidRPr="00014163">
        <w:rPr>
          <w:rFonts w:asciiTheme="majorHAnsi" w:eastAsia="Times New Roman" w:hAnsiTheme="majorHAnsi" w:cs="Times New Roman"/>
          <w:sz w:val="24"/>
          <w:szCs w:val="24"/>
        </w:rPr>
        <w:noBreakHyphen/>
        <w:t>159/94, Recueil, стр.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5815, точка 65).</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107" style="width:0;height:1.5pt" o:hralign="center" o:hrstd="t" o:hrnoshade="t" o:hr="t" fillcolor="#333" stroked="f"/>
        </w:pict>
      </w:r>
    </w:p>
    <w:bookmarkStart w:id="165" w:name="Footnote82"/>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"Footref82"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82</w:t>
      </w:r>
      <w:r w:rsidRPr="00014163">
        <w:rPr>
          <w:rFonts w:asciiTheme="majorHAnsi" w:eastAsia="Times New Roman" w:hAnsiTheme="majorHAnsi" w:cs="Times New Roman"/>
          <w:sz w:val="24"/>
          <w:szCs w:val="24"/>
        </w:rPr>
        <w:fldChar w:fldCharType="end"/>
      </w:r>
      <w:bookmarkEnd w:id="165"/>
      <w:r w:rsidR="00D62491" w:rsidRPr="00014163">
        <w:rPr>
          <w:rFonts w:asciiTheme="majorHAnsi" w:eastAsia="Times New Roman" w:hAnsiTheme="majorHAnsi" w:cs="Times New Roman"/>
          <w:sz w:val="24"/>
          <w:szCs w:val="24"/>
        </w:rPr>
        <w:t xml:space="preserve"> – Относно критерия за необходимост на привилегията вж. </w:t>
      </w:r>
      <w:proofErr w:type="gramStart"/>
      <w:r w:rsidR="00D62491" w:rsidRPr="00014163">
        <w:rPr>
          <w:rFonts w:asciiTheme="majorHAnsi" w:eastAsia="Times New Roman" w:hAnsiTheme="majorHAnsi" w:cs="Times New Roman"/>
          <w:sz w:val="24"/>
          <w:szCs w:val="24"/>
        </w:rPr>
        <w:t>Решение от 19 май 1993 г. по дело Corbeau (C</w:t>
      </w:r>
      <w:r w:rsidR="00D62491" w:rsidRPr="00014163">
        <w:rPr>
          <w:rFonts w:asciiTheme="majorHAnsi" w:eastAsia="Times New Roman" w:hAnsiTheme="majorHAnsi" w:cs="Times New Roman"/>
          <w:sz w:val="24"/>
          <w:szCs w:val="24"/>
        </w:rPr>
        <w:noBreakHyphen/>
        <w:t>320/91,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2533, точки 13 и 14), Решение от 23 октомври 1997 г. по дело Комисия/Нидерландия (C</w:t>
      </w:r>
      <w:r w:rsidR="00D62491" w:rsidRPr="00014163">
        <w:rPr>
          <w:rFonts w:asciiTheme="majorHAnsi" w:eastAsia="Times New Roman" w:hAnsiTheme="majorHAnsi" w:cs="Times New Roman"/>
          <w:sz w:val="24"/>
          <w:szCs w:val="24"/>
        </w:rPr>
        <w:noBreakHyphen/>
        <w:t>157/94,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5699, точка 53), Решение от 23 май 2000 г. по дело Sydhavnens Sten &amp; Grus (C</w:t>
      </w:r>
      <w:r w:rsidR="00D62491" w:rsidRPr="00014163">
        <w:rPr>
          <w:rFonts w:asciiTheme="majorHAnsi" w:eastAsia="Times New Roman" w:hAnsiTheme="majorHAnsi" w:cs="Times New Roman"/>
          <w:sz w:val="24"/>
          <w:szCs w:val="24"/>
        </w:rPr>
        <w:noBreakHyphen/>
        <w:t>209/98, Recueil, стр.</w:t>
      </w:r>
      <w:proofErr w:type="gramEnd"/>
      <w:r w:rsidR="00D62491" w:rsidRPr="00014163">
        <w:rPr>
          <w:rFonts w:asciiTheme="majorHAnsi" w:eastAsia="Times New Roman" w:hAnsiTheme="majorHAnsi" w:cs="Times New Roman"/>
          <w:sz w:val="24"/>
          <w:szCs w:val="24"/>
        </w:rPr>
        <w:t> </w:t>
      </w:r>
      <w:proofErr w:type="gramStart"/>
      <w:r w:rsidR="00D62491" w:rsidRPr="00014163">
        <w:rPr>
          <w:rFonts w:asciiTheme="majorHAnsi" w:eastAsia="Times New Roman" w:hAnsiTheme="majorHAnsi" w:cs="Times New Roman"/>
          <w:sz w:val="24"/>
          <w:szCs w:val="24"/>
        </w:rPr>
        <w:t>I</w:t>
      </w:r>
      <w:r w:rsidR="00D62491" w:rsidRPr="00014163">
        <w:rPr>
          <w:rFonts w:asciiTheme="majorHAnsi" w:eastAsia="Times New Roman" w:hAnsiTheme="majorHAnsi" w:cs="Times New Roman"/>
          <w:sz w:val="24"/>
          <w:szCs w:val="24"/>
        </w:rPr>
        <w:noBreakHyphen/>
        <w:t>3743, точка 77) и Решение по дело Ambulanz Glöckner (посочено в бележка под линия 23, точка 57).</w:t>
      </w:r>
      <w:proofErr w:type="gramEnd"/>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108" style="width:0;height:1.5pt" o:hralign="center" o:hrstd="t" o:hrnoshade="t" o:hr="t" fillcolor="#333" stroked="f"/>
        </w:pict>
      </w:r>
    </w:p>
    <w:bookmarkStart w:id="166" w:name="Footnote83"/>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"Footref83"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83</w:t>
      </w:r>
      <w:r w:rsidRPr="00014163">
        <w:rPr>
          <w:rFonts w:asciiTheme="majorHAnsi" w:eastAsia="Times New Roman" w:hAnsiTheme="majorHAnsi" w:cs="Times New Roman"/>
          <w:sz w:val="24"/>
          <w:szCs w:val="24"/>
        </w:rPr>
        <w:fldChar w:fldCharType="end"/>
      </w:r>
      <w:bookmarkEnd w:id="166"/>
      <w:r w:rsidR="00D62491" w:rsidRPr="00014163">
        <w:rPr>
          <w:rFonts w:asciiTheme="majorHAnsi" w:eastAsia="Times New Roman" w:hAnsiTheme="majorHAnsi" w:cs="Times New Roman"/>
          <w:sz w:val="24"/>
          <w:szCs w:val="24"/>
        </w:rPr>
        <w:t> – За конкретните характеристики на услугите от общ икономически интерес става дума и в член 16 ЕО, съгласно който тези услуги трябва „да функционират на базата на принципи и при условия, които да им позволяват да изпълнят [своите] задачи“.</w:t>
      </w:r>
    </w:p>
    <w:p w:rsidR="00D62491" w:rsidRPr="00014163" w:rsidRDefault="008D746D" w:rsidP="00D62491">
      <w:pPr>
        <w:spacing w:after="0"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pict>
          <v:rect id="_x0000_i1109" style="width:0;height:1.5pt" o:hralign="center" o:hrstd="t" o:hrnoshade="t" o:hr="t" fillcolor="#333" stroked="f"/>
        </w:pict>
      </w:r>
    </w:p>
    <w:bookmarkStart w:id="167" w:name="Footnote84"/>
    <w:p w:rsidR="00D62491" w:rsidRPr="00014163" w:rsidRDefault="008D746D" w:rsidP="00D62491">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014163">
        <w:rPr>
          <w:rFonts w:asciiTheme="majorHAnsi" w:eastAsia="Times New Roman" w:hAnsiTheme="majorHAnsi" w:cs="Times New Roman"/>
          <w:sz w:val="24"/>
          <w:szCs w:val="24"/>
        </w:rPr>
        <w:fldChar w:fldCharType="begin"/>
      </w:r>
      <w:r w:rsidR="00D62491" w:rsidRPr="00014163">
        <w:rPr>
          <w:rFonts w:asciiTheme="majorHAnsi" w:eastAsia="Times New Roman" w:hAnsiTheme="majorHAnsi" w:cs="Times New Roman"/>
          <w:sz w:val="24"/>
          <w:szCs w:val="24"/>
        </w:rPr>
        <w:instrText xml:space="preserve"> HYPERLINK "http://curia.europa.eu/juris/document/document.jsf;jsessionid=9ea7d0f130d538f7dfef66554bbca2c9ebf956c9ad5e.e34KaxiLc3eQc40LaxqMbN4OaNqMe0?text=&amp;docid=69595&amp;pageIndex=0&amp;doclang=BG&amp;mode=lst&amp;dir=&amp;occ=first&amp;part=1&amp;cid=76949" \l "Footref84" </w:instrText>
      </w:r>
      <w:r w:rsidRPr="00014163">
        <w:rPr>
          <w:rFonts w:asciiTheme="majorHAnsi" w:eastAsia="Times New Roman" w:hAnsiTheme="majorHAnsi" w:cs="Times New Roman"/>
          <w:sz w:val="24"/>
          <w:szCs w:val="24"/>
        </w:rPr>
        <w:fldChar w:fldCharType="separate"/>
      </w:r>
      <w:r w:rsidR="00D62491" w:rsidRPr="00014163">
        <w:rPr>
          <w:rFonts w:asciiTheme="majorHAnsi" w:eastAsia="Times New Roman" w:hAnsiTheme="majorHAnsi" w:cs="Times New Roman"/>
          <w:sz w:val="24"/>
          <w:szCs w:val="24"/>
        </w:rPr>
        <w:t>84</w:t>
      </w:r>
      <w:r w:rsidRPr="00014163">
        <w:rPr>
          <w:rFonts w:asciiTheme="majorHAnsi" w:eastAsia="Times New Roman" w:hAnsiTheme="majorHAnsi" w:cs="Times New Roman"/>
          <w:sz w:val="24"/>
          <w:szCs w:val="24"/>
        </w:rPr>
        <w:fldChar w:fldCharType="end"/>
      </w:r>
      <w:bookmarkEnd w:id="167"/>
      <w:r w:rsidR="00D62491" w:rsidRPr="00014163">
        <w:rPr>
          <w:rFonts w:asciiTheme="majorHAnsi" w:eastAsia="Times New Roman" w:hAnsiTheme="majorHAnsi" w:cs="Times New Roman"/>
          <w:sz w:val="24"/>
          <w:szCs w:val="24"/>
        </w:rPr>
        <w:t xml:space="preserve"> – Относно разграничението между икономическа дейност и упражняване на властнически правомощия вж. </w:t>
      </w:r>
      <w:proofErr w:type="gramStart"/>
      <w:r w:rsidR="00D62491" w:rsidRPr="00014163">
        <w:rPr>
          <w:rFonts w:asciiTheme="majorHAnsi" w:eastAsia="Times New Roman" w:hAnsiTheme="majorHAnsi" w:cs="Times New Roman"/>
          <w:sz w:val="24"/>
          <w:szCs w:val="24"/>
        </w:rPr>
        <w:t>Решение по дело SAT Fluggesellschaft (точки 30 и 31) и Решение по дело Diego Calì &amp; Figli (точки 22 и 23), посочени в бележка под линия 38, както и точка 49 от настоящото заключение.</w:t>
      </w:r>
      <w:proofErr w:type="gramEnd"/>
    </w:p>
    <w:p w:rsidR="009E4065" w:rsidRPr="00014163" w:rsidRDefault="009E4065">
      <w:pPr>
        <w:rPr>
          <w:rFonts w:asciiTheme="majorHAnsi" w:hAnsiTheme="majorHAnsi"/>
          <w:sz w:val="24"/>
          <w:szCs w:val="24"/>
        </w:rPr>
      </w:pPr>
    </w:p>
    <w:sectPr w:rsidR="009E4065" w:rsidRPr="00014163" w:rsidSect="00014163">
      <w:footerReference w:type="default" r:id="rId7"/>
      <w:pgSz w:w="12240" w:h="15840"/>
      <w:pgMar w:top="851" w:right="1417" w:bottom="1276"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4163" w:rsidRDefault="00014163" w:rsidP="00014163">
      <w:pPr>
        <w:spacing w:after="0" w:line="240" w:lineRule="auto"/>
      </w:pPr>
      <w:r>
        <w:separator/>
      </w:r>
    </w:p>
  </w:endnote>
  <w:endnote w:type="continuationSeparator" w:id="0">
    <w:p w:rsidR="00014163" w:rsidRDefault="00014163" w:rsidP="000141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884321"/>
      <w:docPartObj>
        <w:docPartGallery w:val="Page Numbers (Bottom of Page)"/>
        <w:docPartUnique/>
      </w:docPartObj>
    </w:sdtPr>
    <w:sdtContent>
      <w:p w:rsidR="00014163" w:rsidRDefault="00014163">
        <w:pPr>
          <w:pStyle w:val="a7"/>
          <w:jc w:val="center"/>
        </w:pPr>
        <w:fldSimple w:instr=" PAGE   \* MERGEFORMAT ">
          <w:r>
            <w:rPr>
              <w:noProof/>
            </w:rPr>
            <w:t>34</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4163" w:rsidRDefault="00014163" w:rsidP="00014163">
      <w:pPr>
        <w:spacing w:after="0" w:line="240" w:lineRule="auto"/>
      </w:pPr>
      <w:r>
        <w:separator/>
      </w:r>
    </w:p>
  </w:footnote>
  <w:footnote w:type="continuationSeparator" w:id="0">
    <w:p w:rsidR="00014163" w:rsidRDefault="00014163" w:rsidP="0001416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hyphenationZone w:val="425"/>
  <w:characterSpacingControl w:val="doNotCompress"/>
  <w:footnotePr>
    <w:footnote w:id="-1"/>
    <w:footnote w:id="0"/>
  </w:footnotePr>
  <w:endnotePr>
    <w:endnote w:id="-1"/>
    <w:endnote w:id="0"/>
  </w:endnotePr>
  <w:compat/>
  <w:rsids>
    <w:rsidRoot w:val="00D62491"/>
    <w:rsid w:val="00014163"/>
    <w:rsid w:val="008D746D"/>
    <w:rsid w:val="009E4065"/>
    <w:rsid w:val="00D624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1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06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6centre">
    <w:name w:val="c36centre"/>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D62491"/>
    <w:rPr>
      <w:color w:val="0000FF"/>
      <w:u w:val="single"/>
    </w:rPr>
  </w:style>
  <w:style w:type="character" w:styleId="a4">
    <w:name w:val="FollowedHyperlink"/>
    <w:basedOn w:val="a0"/>
    <w:uiPriority w:val="99"/>
    <w:semiHidden/>
    <w:unhideWhenUsed/>
    <w:rsid w:val="00D62491"/>
    <w:rPr>
      <w:color w:val="800080"/>
      <w:u w:val="single"/>
    </w:rPr>
  </w:style>
  <w:style w:type="paragraph" w:customStyle="1" w:styleId="c38centregrasgrandespacement">
    <w:name w:val="c38centregrasgrandespacement"/>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7centregras">
    <w:name w:val="c37centregras"/>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9centreespacement">
    <w:name w:val="c39centreespacement"/>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1indicateur">
    <w:name w:val="c71indicateur"/>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tre1">
    <w:name w:val="c03titre1"/>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altn">
    <w:name w:val="c01pointaltn"/>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4titre2">
    <w:name w:val="c04titre2"/>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2alineaalta">
    <w:name w:val="c02alineaalta"/>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margeretrait0">
    <w:name w:val="c15margeretrait0"/>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tiretlong2">
    <w:name w:val="c11tiretlong2"/>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marge1">
    <w:name w:val="c19marge1"/>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62491"/>
  </w:style>
  <w:style w:type="paragraph" w:customStyle="1" w:styleId="c05titre3">
    <w:name w:val="c05titre3"/>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8titre6">
    <w:name w:val="c08titre6"/>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6titre4">
    <w:name w:val="c06titre4"/>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footnotelangue">
    <w:name w:val="c40footnotelangue"/>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footnotetext">
    <w:name w:val="cfootnotetext"/>
    <w:basedOn w:val="a"/>
    <w:rsid w:val="00D62491"/>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semiHidden/>
    <w:unhideWhenUsed/>
    <w:rsid w:val="00014163"/>
    <w:pPr>
      <w:tabs>
        <w:tab w:val="center" w:pos="4536"/>
        <w:tab w:val="right" w:pos="9072"/>
      </w:tabs>
      <w:spacing w:after="0" w:line="240" w:lineRule="auto"/>
    </w:pPr>
  </w:style>
  <w:style w:type="character" w:customStyle="1" w:styleId="a6">
    <w:name w:val="Горен колонтитул Знак"/>
    <w:basedOn w:val="a0"/>
    <w:link w:val="a5"/>
    <w:uiPriority w:val="99"/>
    <w:semiHidden/>
    <w:rsid w:val="00014163"/>
  </w:style>
  <w:style w:type="paragraph" w:styleId="a7">
    <w:name w:val="footer"/>
    <w:basedOn w:val="a"/>
    <w:link w:val="a8"/>
    <w:uiPriority w:val="99"/>
    <w:unhideWhenUsed/>
    <w:rsid w:val="00014163"/>
    <w:pPr>
      <w:tabs>
        <w:tab w:val="center" w:pos="4536"/>
        <w:tab w:val="right" w:pos="9072"/>
      </w:tabs>
      <w:spacing w:after="0" w:line="240" w:lineRule="auto"/>
    </w:pPr>
  </w:style>
  <w:style w:type="character" w:customStyle="1" w:styleId="a8">
    <w:name w:val="Долен колонтитул Знак"/>
    <w:basedOn w:val="a0"/>
    <w:link w:val="a7"/>
    <w:uiPriority w:val="99"/>
    <w:rsid w:val="00014163"/>
  </w:style>
</w:styles>
</file>

<file path=word/webSettings.xml><?xml version="1.0" encoding="utf-8"?>
<w:webSettings xmlns:r="http://schemas.openxmlformats.org/officeDocument/2006/relationships" xmlns:w="http://schemas.openxmlformats.org/wordprocessingml/2006/main">
  <w:divs>
    <w:div w:id="176680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7B5D4E-967E-4F87-BA6A-159BF8A45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34</Pages>
  <Words>18165</Words>
  <Characters>103545</Characters>
  <Application>Microsoft Office Word</Application>
  <DocSecurity>0</DocSecurity>
  <Lines>862</Lines>
  <Paragraphs>242</Paragraphs>
  <ScaleCrop>false</ScaleCrop>
  <Company>Grizli777</Company>
  <LinksUpToDate>false</LinksUpToDate>
  <CharactersWithSpaces>121468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2</cp:revision>
  <dcterms:created xsi:type="dcterms:W3CDTF">2014-05-28T08:25:00Z</dcterms:created>
  <dcterms:modified xsi:type="dcterms:W3CDTF">2014-06-04T08:54:00Z</dcterms:modified>
</cp:coreProperties>
</file>